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Pr="00F32C1B" w:rsidRDefault="00884DED" w:rsidP="00884DED">
      <w:pPr>
        <w:spacing w:after="0" w:line="240" w:lineRule="auto"/>
        <w:jc w:val="center"/>
        <w:rPr>
          <w:szCs w:val="28"/>
        </w:rPr>
      </w:pPr>
      <w:bookmarkStart w:id="0" w:name="_GoBack"/>
      <w:bookmarkEnd w:id="0"/>
      <w:r w:rsidRPr="00F32C1B">
        <w:rPr>
          <w:szCs w:val="28"/>
        </w:rPr>
        <w:t>P</w:t>
      </w:r>
      <w:r w:rsidR="00B80E0E" w:rsidRPr="00F32C1B">
        <w:rPr>
          <w:szCs w:val="28"/>
        </w:rPr>
        <w:t xml:space="preserve">hụ lục </w:t>
      </w:r>
      <w:r w:rsidRPr="00F32C1B">
        <w:rPr>
          <w:szCs w:val="28"/>
        </w:rPr>
        <w:t>I</w:t>
      </w:r>
    </w:p>
    <w:p w:rsidR="00884DED" w:rsidRPr="00604988" w:rsidRDefault="00884DED" w:rsidP="00884DED">
      <w:pPr>
        <w:spacing w:after="0" w:line="240" w:lineRule="auto"/>
        <w:jc w:val="center"/>
        <w:rPr>
          <w:b/>
          <w:szCs w:val="28"/>
        </w:rPr>
      </w:pPr>
      <w:r w:rsidRPr="00604988">
        <w:rPr>
          <w:b/>
          <w:szCs w:val="28"/>
        </w:rPr>
        <w:t>CÁC KHOẢN PHÍ</w:t>
      </w:r>
    </w:p>
    <w:p w:rsidR="00884DED" w:rsidRPr="00604988" w:rsidRDefault="00884DED" w:rsidP="00884DED">
      <w:pPr>
        <w:spacing w:after="0" w:line="240" w:lineRule="auto"/>
        <w:jc w:val="center"/>
        <w:rPr>
          <w:i/>
          <w:szCs w:val="28"/>
        </w:rPr>
      </w:pPr>
      <w:r w:rsidRPr="00604988">
        <w:rPr>
          <w:i/>
          <w:szCs w:val="28"/>
        </w:rPr>
        <w:t xml:space="preserve"> (Ban hành kèm theo Nghị quyết số</w:t>
      </w:r>
      <w:r w:rsidR="00A149D6">
        <w:rPr>
          <w:i/>
          <w:szCs w:val="28"/>
        </w:rPr>
        <w:t xml:space="preserve"> 28</w:t>
      </w:r>
      <w:r w:rsidRPr="00604988">
        <w:rPr>
          <w:i/>
          <w:szCs w:val="28"/>
        </w:rPr>
        <w:t>/2020/NQ-HĐND</w:t>
      </w:r>
    </w:p>
    <w:p w:rsidR="00884DED" w:rsidRPr="00604988" w:rsidRDefault="00A149D6" w:rsidP="00884DED">
      <w:pPr>
        <w:spacing w:after="0" w:line="240" w:lineRule="auto"/>
        <w:jc w:val="center"/>
        <w:rPr>
          <w:i/>
          <w:szCs w:val="28"/>
        </w:rPr>
      </w:pPr>
      <w:r w:rsidRPr="00604988">
        <w:rPr>
          <w:i/>
          <w:szCs w:val="28"/>
        </w:rPr>
        <w:t>N</w:t>
      </w:r>
      <w:r w:rsidR="00884DED" w:rsidRPr="00604988">
        <w:rPr>
          <w:i/>
          <w:szCs w:val="28"/>
        </w:rPr>
        <w:t>gày</w:t>
      </w:r>
      <w:r>
        <w:rPr>
          <w:i/>
          <w:szCs w:val="28"/>
        </w:rPr>
        <w:t xml:space="preserve"> 13</w:t>
      </w:r>
      <w:r w:rsidR="00884DED" w:rsidRPr="00604988">
        <w:rPr>
          <w:i/>
          <w:szCs w:val="28"/>
        </w:rPr>
        <w:t xml:space="preserve"> tháng  </w:t>
      </w:r>
      <w:r w:rsidR="00884DED">
        <w:rPr>
          <w:i/>
          <w:szCs w:val="28"/>
        </w:rPr>
        <w:t>7</w:t>
      </w:r>
      <w:r w:rsidR="00884DED" w:rsidRPr="00604988">
        <w:rPr>
          <w:i/>
          <w:szCs w:val="28"/>
        </w:rPr>
        <w:t xml:space="preserve">  năm 2020 của Hội đồng nhân dân tỉnh Kon Tum)</w:t>
      </w:r>
    </w:p>
    <w:p w:rsidR="00884DED" w:rsidRPr="00604988" w:rsidRDefault="00884DED" w:rsidP="00884DED">
      <w:pPr>
        <w:spacing w:after="0" w:line="240" w:lineRule="auto"/>
        <w:rPr>
          <w:i/>
        </w:rPr>
      </w:pPr>
    </w:p>
    <w:tbl>
      <w:tblPr>
        <w:tblW w:w="10750" w:type="dxa"/>
        <w:tblInd w:w="-856" w:type="dxa"/>
        <w:tblLook w:val="04A0"/>
      </w:tblPr>
      <w:tblGrid>
        <w:gridCol w:w="676"/>
        <w:gridCol w:w="3928"/>
        <w:gridCol w:w="1598"/>
        <w:gridCol w:w="1206"/>
        <w:gridCol w:w="839"/>
        <w:gridCol w:w="871"/>
        <w:gridCol w:w="1632"/>
      </w:tblGrid>
      <w:tr w:rsidR="00884DED" w:rsidRPr="00604988" w:rsidTr="00E82FA4">
        <w:trPr>
          <w:trHeight w:val="1214"/>
          <w:tblHead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STT</w:t>
            </w:r>
          </w:p>
        </w:tc>
        <w:tc>
          <w:tcPr>
            <w:tcW w:w="3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Nội dung</w:t>
            </w: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Đơn vị tính</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Mức thu (đồng)</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Tỷ lệ (%) để lại đơn vị thu</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Tỷ lệ (%) nộp NSNN</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Ghi chú</w:t>
            </w:r>
          </w:p>
        </w:tc>
      </w:tr>
      <w:tr w:rsidR="00884DED" w:rsidRPr="00B85D65" w:rsidTr="00E82FA4">
        <w:trPr>
          <w:trHeight w:val="429"/>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center"/>
              <w:rPr>
                <w:rFonts w:eastAsia="Times New Roman"/>
                <w:b/>
                <w:bCs/>
                <w:sz w:val="26"/>
                <w:szCs w:val="28"/>
              </w:rPr>
            </w:pPr>
            <w:r w:rsidRPr="00B85D65">
              <w:rPr>
                <w:rFonts w:eastAsia="Times New Roman"/>
                <w:b/>
                <w:bCs/>
                <w:sz w:val="26"/>
                <w:szCs w:val="28"/>
              </w:rPr>
              <w:t>A</w:t>
            </w:r>
          </w:p>
        </w:tc>
        <w:tc>
          <w:tcPr>
            <w:tcW w:w="100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both"/>
              <w:rPr>
                <w:rFonts w:eastAsia="Times New Roman"/>
                <w:b/>
                <w:bCs/>
                <w:sz w:val="26"/>
              </w:rPr>
            </w:pPr>
            <w:r w:rsidRPr="00B85D65">
              <w:rPr>
                <w:b/>
                <w:sz w:val="26"/>
                <w:szCs w:val="28"/>
              </w:rPr>
              <w:t>PHÍ THUỘC LĨNH VỰC NÔNG NGHIỆP, LÂM NGHIỆP, THỦY SẢN</w:t>
            </w:r>
          </w:p>
        </w:tc>
      </w:tr>
      <w:tr w:rsidR="00884DED" w:rsidRPr="00604988" w:rsidTr="00E82FA4">
        <w:trPr>
          <w:trHeight w:val="587"/>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bình tuyển, công nhận cây mẹ, cây đầu dòng, vườn giống cây lâm nghiệp, rừng giống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285"/>
        </w:trPr>
        <w:tc>
          <w:tcPr>
            <w:tcW w:w="676" w:type="dxa"/>
            <w:tcBorders>
              <w:top w:val="nil"/>
              <w:left w:val="single" w:sz="4" w:space="0" w:color="auto"/>
              <w:bottom w:val="single" w:sz="4" w:space="0" w:color="auto"/>
              <w:right w:val="single" w:sz="4" w:space="0" w:color="auto"/>
            </w:tcBorders>
            <w:shd w:val="clear" w:color="auto" w:fill="auto"/>
            <w:noWrap/>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Đối tượng nộp phí</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150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Tất cả các tổ chức kinh tế, các Ban quản lý (BQL) rừng phòng hộ, đặc dụng, các cá nhân, hộ gia đình là chủ các nguồn giống lâm nghiệp đề nghị cơ quan nhà nước có thẩm quyền thực hiện bình tuyển, công nhận trên địa bàn tỉnh Kon Tum. Các nguồn giống lâm nghiệp bao gồm:</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217"/>
        </w:trPr>
        <w:tc>
          <w:tcPr>
            <w:tcW w:w="676" w:type="dxa"/>
            <w:tcBorders>
              <w:top w:val="nil"/>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Vườn giống cây lâm nghiệp</w:t>
            </w:r>
          </w:p>
        </w:tc>
        <w:tc>
          <w:tcPr>
            <w:tcW w:w="1598" w:type="dxa"/>
            <w:tcBorders>
              <w:top w:val="nil"/>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nil"/>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39" w:type="dxa"/>
            <w:tcBorders>
              <w:top w:val="nil"/>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871" w:type="dxa"/>
            <w:tcBorders>
              <w:top w:val="nil"/>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1632" w:type="dxa"/>
            <w:tcBorders>
              <w:top w:val="nil"/>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Các lâm phần tuyển chọn</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Các khu rừng giống chuyển hóa</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Các khu rừng giống trồng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149"/>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Cây mẹ</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Cây đầu dòng (hoặc vườn cung cấp hom)</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285"/>
        </w:trPr>
        <w:tc>
          <w:tcPr>
            <w:tcW w:w="676" w:type="dxa"/>
            <w:tcBorders>
              <w:top w:val="nil"/>
              <w:left w:val="single" w:sz="4" w:space="0" w:color="auto"/>
              <w:bottom w:val="single" w:sz="4" w:space="0" w:color="auto"/>
              <w:right w:val="single" w:sz="4" w:space="0" w:color="auto"/>
            </w:tcBorders>
            <w:shd w:val="clear" w:color="auto" w:fill="auto"/>
            <w:noWrap/>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114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a</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Các tổ chức kinh tế, các Ban quản lý (BQL) rừng phòng hộ, đặc dụng, các cá nhân, hộ gia đình đề nghị cơ quan nhà nước có thẩm quyền thực hiện bình tuyển, công nhận cây mẹ, cây đầu dòng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549"/>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những tổ chức, cá nhân có dưới 10 cây mẹ, cây đầu dòng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đồng/01 lần</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1.500.000</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515"/>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những tổ chức, cá nhân có từ 10 đến dưới 30 cây mẹ, cây đầu dòng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đồng/01 lần</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2.000.000</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467"/>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những tổ chức, cá nhân có từ 30 đến 50 cây mẹ, cây đầu dòng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đồng/01 lần</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2.500.000</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561"/>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những tổ chức, cá nhân có trên 50 cây mẹ, cây đầu dòng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đồng/01 lần</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3.000.000</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35"/>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b</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Các tổ chức kinh tế, các Ban quản lý (BQL) rừng phòng hộ, đặc dụng, các cá nhân, hộ gia đình đề nghị cơ quan nhà nước có thẩm quyền thực hiện bình tuyển, công nhận lâm phần tuyển chọn, vườn giống cây lâm nghiệp, rừng giống chuyển hóa, rừng giống trồng</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những tổ chức, cá nhân có dưới 5 ha</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đồng/01 lần</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4.500.000</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nil"/>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Đối với những tổ chức, cá nhân có từ 5 - </w:t>
            </w:r>
            <w:r w:rsidRPr="00604988">
              <w:rPr>
                <w:rFonts w:eastAsia="Times New Roman"/>
                <w:sz w:val="22"/>
              </w:rPr>
              <w:lastRenderedPageBreak/>
              <w:t>10 ha</w:t>
            </w:r>
          </w:p>
        </w:tc>
        <w:tc>
          <w:tcPr>
            <w:tcW w:w="1598"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đồng/01 lần</w:t>
            </w:r>
          </w:p>
        </w:tc>
        <w:tc>
          <w:tcPr>
            <w:tcW w:w="1206"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5.500.000</w:t>
            </w:r>
          </w:p>
        </w:tc>
        <w:tc>
          <w:tcPr>
            <w:tcW w:w="839"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871"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1632" w:type="dxa"/>
            <w:tcBorders>
              <w:top w:val="nil"/>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w:t>
            </w:r>
          </w:p>
        </w:tc>
        <w:tc>
          <w:tcPr>
            <w:tcW w:w="3928"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những tổ chức, cá nhân có trên 10 ha</w:t>
            </w:r>
          </w:p>
        </w:tc>
        <w:tc>
          <w:tcPr>
            <w:tcW w:w="1598"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đồng/01 lần</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7.500.000</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B85D65"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center"/>
              <w:rPr>
                <w:rFonts w:eastAsia="Times New Roman"/>
                <w:sz w:val="26"/>
              </w:rPr>
            </w:pPr>
            <w:r w:rsidRPr="00B85D65">
              <w:rPr>
                <w:b/>
                <w:sz w:val="26"/>
                <w:szCs w:val="28"/>
              </w:rPr>
              <w:t>B</w:t>
            </w:r>
          </w:p>
        </w:tc>
        <w:tc>
          <w:tcPr>
            <w:tcW w:w="10074" w:type="dxa"/>
            <w:gridSpan w:val="6"/>
            <w:tcBorders>
              <w:top w:val="single" w:sz="4" w:space="0" w:color="auto"/>
              <w:left w:val="nil"/>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both"/>
              <w:rPr>
                <w:rFonts w:eastAsia="Times New Roman"/>
                <w:b/>
                <w:bCs/>
                <w:sz w:val="26"/>
              </w:rPr>
            </w:pPr>
            <w:r w:rsidRPr="00B85D65">
              <w:rPr>
                <w:b/>
                <w:sz w:val="26"/>
                <w:szCs w:val="28"/>
              </w:rPr>
              <w:t>PHÍ THUỘC LĨNH VỰC CÔNG NGHIỆP, THƯƠNG MẠI, ĐẦU TƯ, XÂY DỰNG</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sử dụng công trình kế cấu hạ tầng (đối với phương tiện ra, vào các cửa khẩu) trong Khu kinh tế cửa khẩu quốc tế Bờ Y</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6"/>
                <w:szCs w:val="26"/>
              </w:rPr>
            </w:pPr>
            <w:r w:rsidRPr="00604988">
              <w:rPr>
                <w:rFonts w:eastAsia="Times New Roman"/>
                <w:b/>
                <w:bCs/>
                <w:sz w:val="26"/>
                <w:szCs w:val="26"/>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Tổ chức, cá nhân trong nước và ngoài nước có phương tiện ra, vào các cửa khẩu trong Khu kinh tế cửa khẩu quốc tế Bờ Y có trách nhiệm nộp phí sử dụng công trình kết cấu hạ tầng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Kể từ ngày Nghị quyết này có hiệu lực, đối tượng nộp phí (*) nêu trên được giảm 70% cho đến hết ngày 31 tháng 12 năm 2020</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a</w:t>
            </w: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Xe chở người </w:t>
            </w:r>
            <w:r w:rsidRPr="00604988">
              <w:rPr>
                <w:rFonts w:eastAsia="Times New Roman"/>
                <w:b/>
                <w:bCs/>
                <w:i/>
                <w:iCs/>
                <w:sz w:val="22"/>
              </w:rPr>
              <w:t xml:space="preserve">(có chở khách hoặc không chở khách); </w:t>
            </w:r>
            <w:r w:rsidRPr="00604988">
              <w:rPr>
                <w:rFonts w:eastAsia="Times New Roman"/>
                <w:b/>
                <w:bCs/>
                <w:sz w:val="22"/>
              </w:rPr>
              <w:t xml:space="preserve">xe chở hàng </w:t>
            </w:r>
            <w:r w:rsidRPr="00604988">
              <w:rPr>
                <w:rFonts w:eastAsia="Times New Roman"/>
                <w:b/>
                <w:bCs/>
                <w:i/>
                <w:iCs/>
                <w:sz w:val="22"/>
              </w:rPr>
              <w:t>(không chở hàng hoặc có chở hàng khác với hàng hóa quy định ở mục b)</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ôtô con; xe bán tải; xe tải có  trọng tải dưới 1.500 kg.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Xe khách từ 10 chỗ ngồi đến 30 chỗ ngồi; xe tải có trọng tải từ 1.500 kg đến dưới 4.000 kg.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Xe khách từ 31 chỗ ngồi trở lên; xe tải, xe kéo rơ moóc, xe kéo sơ mi rơ moóc có trọng tải từ 4.000 kg đến dưới 10.000 kg.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130.000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tải, xe kéo rơ moóc, xe kéo sơ mi rơ moóc có trọng tải  từ 10.000 kg đến dưới 18.000 kg; xe chở hàng bằng container 20 fit.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220.000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tải, xe kéo rơ moóc, xe kéo sơ mi rơ moóc có trọng tải từ 18.000 kg trở lên; xe chở hàng bằng container 40 fit.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320.000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b</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Xe chở hàng: chở gỗ và sản phẩm chế biến từ gổ nhập khẩu, xuất khẩu </w:t>
            </w:r>
            <w:r w:rsidRPr="00604988">
              <w:rPr>
                <w:rFonts w:eastAsia="Times New Roman"/>
                <w:b/>
                <w:bCs/>
                <w:i/>
                <w:iCs/>
                <w:sz w:val="22"/>
              </w:rPr>
              <w:t>(trừ gỗ rừng trồng và gỗ cây cao su)</w:t>
            </w:r>
            <w:r w:rsidRPr="00604988">
              <w:rPr>
                <w:rFonts w:eastAsia="Times New Roman"/>
                <w:b/>
                <w:bCs/>
                <w:sz w:val="22"/>
              </w:rPr>
              <w:t>, chở hàng hóa tạm nhập tái xuất, hàng hóa tạm xuất tái nhập, hàng hóa chuyển khẩu, hàng hóa của nước ngoài gửi kho ngoại quan xuất khẩu, hàng hóa quá cảnh...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bán tải; xe tải có  trọng tải dưới 1.500 kg.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350.000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Xe tải có trọng tải từ 1.500 kg đến dưới 4.000 kg.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tải, xe kéo rơ moóc, xe kéo sơ mi rơ moóc có trọng tải  từ 4.000 kg đến dưới 10.000 kg.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tải, xe kéo rơ moóc, xe kéo sơ mi rơ moóc có trọng tải  từ 10.000 kg đến dưới 18.000 kg; xe chở hàng bằng container 20 fit.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tải, xe kéo rơ moóc, xe kéo sơ mi rơ moóc có trọng tải từ 18.000 kg trở lên; xe chở hàng bằng container 40 fit.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đồng/xe/lượt qua cửa khẩu</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90%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miễn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có hộ tống, dẫn đường; xe công vụ gồm: xe của các cơ quan Đảng, nhà nước, đoàn thể (không bao gồm xe của doanh nghiệp nhà nước) đi công tác, xe của các Đoàn công tác nước ngoài được miễn trừ ngoại giao theo qui định của Nhà nước.</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cứu thương; xe cứu hỏa, xe máy nông nghiệp; xe hộ đê, xe làm nhiệm vụ khẩn cấp về chống lụt bão;  xe làm nhiệm vụ theo quy định của pháp luật về tình trạng khẩn cấp khi có thảm họa lớn, dịch bệnh nguy hiểm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chuyên dùng phục vụ quốc phòng, an ninh (xe tăng, xe bọc thép, xe kéo pháo, xe chở lực lượng vũ trang đang hành quân); xe ô tô của lực lượng Công an, Quốc phòng sử dụng vé “Phí đường bộ toàn quốc”</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Xe mô tô hai bánh, xe hai bánh gắn máy; xe ba bánh gắn máy</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r>
      <w:tr w:rsidR="00884DED" w:rsidRPr="00B85D65"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center"/>
              <w:rPr>
                <w:rFonts w:eastAsia="Times New Roman"/>
                <w:sz w:val="26"/>
              </w:rPr>
            </w:pPr>
            <w:r w:rsidRPr="00B85D65">
              <w:rPr>
                <w:b/>
                <w:sz w:val="26"/>
              </w:rPr>
              <w:t>C</w:t>
            </w:r>
          </w:p>
        </w:tc>
        <w:tc>
          <w:tcPr>
            <w:tcW w:w="10074" w:type="dxa"/>
            <w:gridSpan w:val="6"/>
            <w:tcBorders>
              <w:top w:val="single" w:sz="4" w:space="0" w:color="auto"/>
              <w:left w:val="nil"/>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both"/>
              <w:rPr>
                <w:rFonts w:eastAsia="Times New Roman"/>
                <w:b/>
                <w:bCs/>
                <w:sz w:val="26"/>
              </w:rPr>
            </w:pPr>
            <w:r w:rsidRPr="00B85D65">
              <w:rPr>
                <w:b/>
                <w:sz w:val="26"/>
              </w:rPr>
              <w:t>PHÍ THUỘC LĨNH VỰC GIAO THÔNG VẬN TẢI</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Phí sử dụng tạm thời lòng đường, hè phố</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Các cơ quan, tổ chức, cá nhân, hộ gia đình được phép sử dụng hè đường, lòng đường, lề đường ngoài mục đích giao thông phù hợp quy định của Nhà nước về quản lý hè đường, lòng đường, lề đường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a</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Khu vực thành thị (các phường, thị trấn)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Tập kết, trung chuyển vật liệu, phế thải xây dựng, thi công công trình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Đồng/m2/ngày</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4.000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Trông giữ xe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Sử dụng từ 15 ngày trở xuống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Đồng/m2/ngày</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Sử dụng trên 15 ngày</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Đồng/m2/tháng</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Kinh doanh hàng hoá, dịch vụ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Đồng/m2/tháng</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60.000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Phí sử dụng vỉa hè để đặt biển hiệu, biển quảng cáo</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Đồng/m2bảng hiệu/tháng</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60.000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b</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Khu vực nông thôn (địa bàn các xã còn lại)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Tập kết, trung chuyển vật liệu, phế thải xây dựng, thi công công trình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Đồng/m2/ngày</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Trông giữ xe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Sử dụng từ 15 ngày trở xuống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Đồng/m2/ngày</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Sử dụng trên 15 ngày</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Đồng/m2/tháng</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Kinh doanh hàng hoá, dịch vụ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Đồng/m2/tháng</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Phí sử dụng vỉa hè để đặt biển hiệu, biển quảng cáo</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Đồng/m2bảng hiệu/tháng</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c</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Trường hợp thời gian sử dụng không liên tục trong cả ngày (chỉ sử dụng một buổi); tùy theo nội dung công việc</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Đồng/m2/buổi</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Mức thu bằng 50% mức thu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70%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30%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Đối tượng miễn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Tổ chức trông giữ xe phục vụ đám tang, đám cưới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Hoạt động để xe tự quản trước mặt nhà</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Hoạt động văn hóa, tuyên truyền chủ trương, chính sách của Đảng và pháp luật của Nhà nước.</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Hoạt động phục vụ thi công xây dựng, sửa chữa công trình có tính chất khẩn cấp (khắc phục sự cố đường ống nước sạch, cáp điện, cáp quang, ống dẫn xăng dầu, khí đốt; lún sụt nền, mặt đường, vỉa hè)</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Lắp đặt nhà chờ xe bus, trồng cây xanh trên hè phố</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B85D65"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center"/>
              <w:rPr>
                <w:rFonts w:eastAsia="Times New Roman"/>
                <w:sz w:val="26"/>
              </w:rPr>
            </w:pPr>
            <w:r w:rsidRPr="00B85D65">
              <w:rPr>
                <w:b/>
                <w:sz w:val="26"/>
              </w:rPr>
              <w:t>D</w:t>
            </w:r>
          </w:p>
        </w:tc>
        <w:tc>
          <w:tcPr>
            <w:tcW w:w="10074" w:type="dxa"/>
            <w:gridSpan w:val="6"/>
            <w:tcBorders>
              <w:top w:val="single" w:sz="4" w:space="0" w:color="auto"/>
              <w:left w:val="nil"/>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both"/>
              <w:rPr>
                <w:rFonts w:eastAsia="Times New Roman"/>
                <w:b/>
                <w:bCs/>
                <w:sz w:val="26"/>
              </w:rPr>
            </w:pPr>
            <w:r w:rsidRPr="00B85D65">
              <w:rPr>
                <w:b/>
                <w:sz w:val="26"/>
              </w:rPr>
              <w:t>PHÍ THUỘC LĨNH VỰC VĂN HOÁ, THỂ THAO, DU LỊCH</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thăm quan Di tích lịch sử Ngục Kon Tum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các nhân là người Việt Nam và người nước ngoài đến thăm quan di tích lịch sử Ngục Kon Tum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lớn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Trẻ em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miễn, giảm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Người được hưởng chính sách ưu đãi hưởng thụ văn hóa quy định tại Điều 2 </w:t>
            </w:r>
            <w:r w:rsidRPr="00604988">
              <w:rPr>
                <w:rFonts w:eastAsia="Times New Roman"/>
                <w:sz w:val="22"/>
              </w:rPr>
              <w:lastRenderedPageBreak/>
              <w:t>Quyết định số 170/2003/QĐ-TTg ngày 14/8/2003 của Thủ tướng Chính phủ về “Chính sách ưu đãi hưởng thụ văn hóa”. Trường hợp khó xác định là người được hưởng chính sách ưu đãi hưởng thụ văn hóa quy định tại Điều 2 Quyết định số 170/2003/QĐ-TTg thì chỉ cần có giấy xác nhận của Ủy ban nhân dân xã, phường, thị trấn nơi người đó cư trú</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xml:space="preserve">Mức thu bằng 50%  </w:t>
            </w:r>
            <w:r w:rsidRPr="00604988">
              <w:rPr>
                <w:rFonts w:eastAsia="Times New Roman"/>
                <w:sz w:val="22"/>
              </w:rPr>
              <w:lastRenderedPageBreak/>
              <w:t>mức  thu  tại điểm 2, Mục 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khuyết tật nặng theo quy định tại khoản 2 Điều 11 Nghị định số 28/2012/NĐ-CP ngày 10/4/2012 của Chính phủ</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tại điểm 2, Mục 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người thuộc diện được hưởng cả hai trường hợp trên thì chỉ giảm 50% mức phí thăm quan (áp dụng 01 trường hợp).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tại điểm 2, Mục 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khuyết tật đặc biệt nặng theo quy định tại khoản 1 Điều 11 Nghị định số 28/2012/NĐ-CP ngày 10/4/2012 của Chính phủ</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Học sinh, sinh viên, người cao tuổi (là công dân Việt Nam từ đủ 60 tuổi trở lên theo Luật Người cao tuổi)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thăm quan công trình Bảo tàng tỉnh Kon Tum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các nhân là người Việt Nam và người nước ngoài đến tham quan Bảo tàng tỉnh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lớn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Trẻ em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miễn, giảm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được hưởng chính sách ưu đãi hưởng thụ văn hóa quy định tại Điều 2 Quyết định số 170/2003/QĐ-TTg ngày 14/8/2003 của Thủ tướng Chính phủ về “Chính sách ưu đãi hưởng thụ văn hóa”. Trường hợp khó xác định là người được hưởng chính sách ưu đãi hưởng thụ văn hóa quy định tại Điều 2 Quyết định số 170/2003/QĐ-TTg thì chỉ cần có giấy xác nhận của Ủy ban nhân dân xã, phường, thị trấn nơi người đó cư trú</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tại điểm 2, Mục II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khuyết tật nặng theo quy định tại khoản 2 Điều 11 Nghị định số 28/2012/NĐ-CP ngày 10/4/2012 của Chính phủ</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tại điểm 2, Mục II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người thuộc diện được hưởng cả hai trường hợp trên thì chỉ giảm 50% mức phí thăm quan (áp dụng 01 trường hợp).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tại điểm 2, Mục II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khuyết tật đặc biệt nặng theo quy định tại khoản 1 Điều 11 Nghị định số 28/2012/NĐ-CP ngày 10/4/2012 của Chính phủ</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Học sinh, sinh viên, người cao tuổi (là công dân Việt Nam từ đủ 60 tuổi trở lên theo Luật Người cao tuổi)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III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thư viện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 nhân khi có nhu cầu cung cấp các dịch vụ phục vụ bạn đọc, sử dụng vốn tài liệu tại Thư viện tỉnh phải nộp phí thư viện (thẻ mượn, thẻ đọc tài liệu) theo quy định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lớn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đồng/thẻ mượn, thẻ đọc tài liệu/năm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Thiếu nhi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đồng/thẻ mượn, thẻ đọc tài liệu/năm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miễn, giảm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được hưởng chính sách ưu đãi hưởng thụ văn hóa quy định tại Điều 2 Quyết định số 170/2003/QĐ-TTg ngày 14/8/2003 của Thủ tướng Chính phủ về “Chính sách ưu đãi hưởng thụ văn hóa”. Trường hợp khó xác định là người được hưởng chính sách ưu đãi hưởng thụ văn hóa quy định tại Điều 2 Quyết định số 170/2003/QĐ-TTg thì chỉ cần có giấy xác nhận của Ủy ban nhân dân xã, phường, thị trấn nơi người đó cư trú.</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đồng/thẻ mượn, thẻ đọc tài liệu/năm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tại điểm 2, Mục III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khuyết tật nặng theo quy định tại khoản 2 Điều 11 Nghị định số 28/2012/NĐ-CP ngày 10/4/2012 của Chính phủ</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đồng/thẻ mượn, thẻ đọc tài liệu/năm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xml:space="preserve">Mức thu bằng 50% mức thu tại điểm 2, Mục III  </w:t>
            </w:r>
            <w:r w:rsidRPr="00604988">
              <w:rPr>
                <w:rFonts w:eastAsia="Times New Roman"/>
                <w:sz w:val="22"/>
              </w:rPr>
              <w:lastRenderedPageBreak/>
              <w:t>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người thuộc diện được hưởng cả hai trường hợp trên thì chỉ giảm 50% mức phí thư viện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đồng/người/lần</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tại điểm 2, Mục III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Người khuyết tật đặc biệt nặng theo quy định tại khoản 1 Điều 11 Nghị định số 28/2012/NĐ-CP ngày 10/4/2012 của Chính phủ</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đồng/thẻ mượn, thẻ đọc tài liệu/năm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804"/>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Sử dụng tài nguyên thông tin tại thư viện, mượn theo thời hạn quy định trong nội quy thư viện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p>
        </w:tc>
      </w:tr>
      <w:tr w:rsidR="00884DED" w:rsidRPr="00604988" w:rsidTr="00E82FA4">
        <w:trPr>
          <w:trHeight w:val="117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Tra cứu thông tin trên không gian mạng; tiếp nhận thông tin về tài nguyên thông tin thông qua hệ thống tra cứu hoặc hình thức tiếp nhận thông tin, tra cứu khác</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Được giúp đỡ, tư vấn về tìm kiếm, lựa chọn tài nguyên thông tin phù hợp với yêu cầu</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Hoạt động khác theo quy định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p>
        </w:tc>
      </w:tr>
      <w:tr w:rsidR="00884DED" w:rsidRPr="00B85D65"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center"/>
              <w:rPr>
                <w:rFonts w:eastAsia="Times New Roman"/>
                <w:sz w:val="26"/>
              </w:rPr>
            </w:pPr>
            <w:r w:rsidRPr="00B85D65">
              <w:rPr>
                <w:b/>
                <w:sz w:val="26"/>
              </w:rPr>
              <w:t>Đ</w:t>
            </w:r>
          </w:p>
        </w:tc>
        <w:tc>
          <w:tcPr>
            <w:tcW w:w="10074" w:type="dxa"/>
            <w:gridSpan w:val="6"/>
            <w:tcBorders>
              <w:top w:val="single" w:sz="4" w:space="0" w:color="auto"/>
              <w:left w:val="nil"/>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both"/>
              <w:rPr>
                <w:rFonts w:eastAsia="Times New Roman"/>
                <w:sz w:val="26"/>
              </w:rPr>
            </w:pPr>
            <w:r w:rsidRPr="00B85D65">
              <w:rPr>
                <w:b/>
                <w:sz w:val="26"/>
              </w:rPr>
              <w:t>PHÍ THUỘC LĨNH VỰC TÀI NGUYÊN VÀ MÔI TRƯỜNG</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Phí thẩm định báo cáo đánh giá tác động môi trường </w:t>
            </w:r>
            <w:r w:rsidRPr="00604988">
              <w:rPr>
                <w:rFonts w:eastAsia="Times New Roman"/>
                <w:b/>
                <w:bCs/>
                <w:i/>
                <w:iCs/>
                <w:sz w:val="22"/>
              </w:rPr>
              <w:t>(đối với hoạt động thẩm định do cơ quan địa phương thực hiện)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Các cơ quan, tổ chức, cá nhân đề nghị cơ quan có thẩm quyền ở địa phương thực hiện thẩm định báo cáo đánh giá tác động môi trường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Thẩm định lần đầu</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a</w:t>
            </w: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Nhóm 1. Dự án công trình dân dụng có tổng mức đầu tư (tỷ đồng)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Đến 10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 đến 20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12.500.000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 đến 50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21.000.000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 đến 100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37.500.000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 đến 200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41.500.000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 đến 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54.000.000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 đến 1.000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61.000.000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65.000.000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1.500 đến 2.000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67.000.000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2.000 đến 3.000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70.000.000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3.000 đến 5.000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72.500.000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5.000 đến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77.000.000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84.000.000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b</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Nhóm 2. Dự án hạ tầng kỹ thuật (trừ dự án giao thông) có tổng mức đầu tư (tỷ đồng)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Đến 10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8.600.000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 đến 20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13.000.000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 đến 50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22.000.000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 đến 100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38.000.000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 đến 200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 đến 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55.000.000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 đến 1.000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67.000.000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1.500 đến 2.000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68.000.000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2.000 đến 3.000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71.000.000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3.000 đến 5.000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74.000.000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5.000 đến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78.000.000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c</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Nhóm 3. Dự án nông nghiệp, lâm nghiệp, thủy sản, thủy lợi có tổng mức đầu tư (tỷ đồng)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Đến 10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8.800.000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 đến 20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13.500.000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 đến 50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22.500.000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 đến 100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39.000.000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 đến 200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43.000.000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 đến 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56.000.000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 đến 1.000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63.500.000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68.500.000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1.500 đến 2.000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70.000.000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2.000 đến 3.000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73.000.000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3.000 đến 5.000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5.000 đến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80.000.000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88.000.000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d</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Nhóm 4. Dự án giao thôngcó tổng mức đầu tư (tỷ đồng)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Đến 10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9.200.000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 đến 20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14.000.000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 đến 50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23.000.000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 đến 100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41.000.000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 đến 200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45.000.000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 đến 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59.000.000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 đến 1.000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1.500 đến 2.000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73.500.000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2.000 đến 3.000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3.000 đến 5.000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5.000 đến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84.000.000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đ</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Nhóm 5. Dự án công nghiệp có tổng mức đầu tư (tỷ đồng)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Đến 10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9.600.000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 đến 20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15.000.000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 đến 50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24.000.000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 đến 100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43.000.000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 đến 200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47.000.000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 đến 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 đến 1.000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75.000.000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1.500 đến 2.000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76.500.000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2.000 đến 3.000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79.000.000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3.000 đến 5.000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5.000 đến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87.000.000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e</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Nhóm 6. Dự án xử lý chất thải và cải thiện môi trường và các Dự án khác (không thuộc nhóm 1, 2, 3, 4, 5 nêu trên) có tổng mức đầu tư (tỷ đồng)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Đến 10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 đến 20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 đến 50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15.000.000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 đến 100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27.000.000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 đến 200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30.000.000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 đến 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39.000.000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 đến 1.000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44.000.000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48.000.000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1.500 đến 2.000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49.000.000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2.000 đến 3.000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51.000.000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3.000 đến 5.000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53.000.000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5.000 đến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56.000.000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bCs/>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61.000.000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Trường hợp thẩm định lại báo cáo đánh giá tác động môi trường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ind w:right="-49"/>
              <w:jc w:val="center"/>
              <w:rPr>
                <w:rFonts w:eastAsia="Times New Roman"/>
                <w:sz w:val="22"/>
              </w:rPr>
            </w:pPr>
            <w:r w:rsidRPr="00604988">
              <w:rPr>
                <w:rFonts w:eastAsia="Times New Roman"/>
                <w:sz w:val="22"/>
              </w:rPr>
              <w:t xml:space="preserve">Mức thu bằng 50% mức thu phí thẩm định lần </w:t>
            </w:r>
            <w:r w:rsidRPr="00604988">
              <w:rPr>
                <w:rFonts w:eastAsia="Times New Roman"/>
                <w:sz w:val="22"/>
              </w:rPr>
              <w:lastRenderedPageBreak/>
              <w:t>đầu tại điểm 2.1, mục I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lastRenderedPageBreak/>
              <w:t>2.3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Đối với các dự án thuộc từ 02 nhóm trở lên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ind w:right="-49" w:hanging="105"/>
              <w:jc w:val="center"/>
              <w:rPr>
                <w:rFonts w:eastAsia="Times New Roman"/>
                <w:sz w:val="22"/>
              </w:rPr>
            </w:pPr>
            <w:r w:rsidRPr="00604988">
              <w:rPr>
                <w:rFonts w:eastAsia="Times New Roman"/>
                <w:sz w:val="22"/>
              </w:rPr>
              <w:t>Mức thu áp dụng mức phí của nhóm có mức thu cao nhất</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thẩm định phương án cải tạo phục hồi môi trường (đối với hoạt động thẩm định do cơ quan địa phương thực hiện)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Cơ quan nhà nước, tổ chức, hộ gia đình, cá nhân trong nước; người Việt Nam định cư ở nước ngoài, tổ chức, cá nhân nước ngoài có hoạt động trên lãnh thổ nước Cộng hoà xã hội chủ nghĩa Việt Nam khi nộp hồ sơ yêu cầu thẩm định Phương án cải tạo phục hồi môi trường, của dự án/cơ sở thuộc thẩm quyền quyết định phê duyệt của Ủy ban nhân nhân tỉnh Kon Tum.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highlight w:val="yellow"/>
              </w:rPr>
            </w:pPr>
            <w:r w:rsidRPr="00604988">
              <w:rPr>
                <w:rFonts w:eastAsia="Times New Roman"/>
                <w:b/>
                <w:sz w:val="22"/>
              </w:rPr>
              <w:t>a</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highlight w:val="yellow"/>
              </w:rPr>
            </w:pPr>
            <w:r w:rsidRPr="00604988">
              <w:rPr>
                <w:rFonts w:eastAsia="Times New Roman"/>
                <w:b/>
                <w:sz w:val="22"/>
              </w:rPr>
              <w:t>Phương án cải tạo, phục hồi môi trường và báo cáo đánh giá tác động môi trường hoặc xác nhận kế hoạch bảo vệ môi trường không cùng một cơ quan thẩm quyền phê duyệt/xác nhận (tỷ đồng)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highlight w:val="yellow"/>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highlight w:val="yellow"/>
              </w:rPr>
            </w:pP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highlight w:val="yellow"/>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highlight w:val="yellow"/>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highlight w:val="yellow"/>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highlight w:val="yellow"/>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Đến 10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highlight w:val="yellow"/>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highlight w:val="yellow"/>
              </w:rPr>
            </w:pPr>
            <w:r w:rsidRPr="00604988">
              <w:rPr>
                <w:rFonts w:eastAsia="Times New Roman"/>
                <w:sz w:val="22"/>
              </w:rPr>
              <w:t>6</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highlight w:val="yellow"/>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10 đến 20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9</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20 đến 50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15</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50 đến 100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27</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100 đến 200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30</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200 đến 500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39</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500 đến 1.000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44</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48</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1.500 đến 2.000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49</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2.000 đến 3.000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51</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3.000 đến 5.000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53</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5.000 đến 7.000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56</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61</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b</w:t>
            </w:r>
          </w:p>
        </w:tc>
        <w:tc>
          <w:tcPr>
            <w:tcW w:w="3928"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Phương án cải tạo, phục hồi môi trường và báo cáo đánh giá tác động </w:t>
            </w:r>
            <w:r w:rsidRPr="00604988">
              <w:rPr>
                <w:rFonts w:eastAsia="Times New Roman"/>
                <w:b/>
                <w:bCs/>
                <w:sz w:val="22"/>
              </w:rPr>
              <w:lastRenderedPageBreak/>
              <w:t xml:space="preserve">môi trường </w:t>
            </w:r>
            <w:r w:rsidRPr="00604988">
              <w:rPr>
                <w:rFonts w:eastAsia="Times New Roman"/>
                <w:b/>
                <w:sz w:val="22"/>
              </w:rPr>
              <w:t xml:space="preserve">hoặc xác nhận kế hoạch bảo vệ môi trường </w:t>
            </w:r>
            <w:r w:rsidRPr="00604988">
              <w:rPr>
                <w:rFonts w:eastAsia="Times New Roman"/>
                <w:b/>
                <w:bCs/>
                <w:sz w:val="22"/>
              </w:rPr>
              <w:t xml:space="preserve">cùng một cơ quan thẩm quyền phê duyệt/xác nhận </w:t>
            </w:r>
            <w:r w:rsidRPr="00604988">
              <w:rPr>
                <w:rFonts w:eastAsia="Times New Roman"/>
                <w:b/>
                <w:sz w:val="22"/>
              </w:rPr>
              <w:t>(tỷ đồng)</w:t>
            </w: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highlight w:val="yellow"/>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Đến 10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highlight w:val="yellow"/>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4</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highlight w:val="yellow"/>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10 đến 20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6</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20 đến 50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10</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50 đến 100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18</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100 đến 200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20</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200 đến 500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26</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500 đến 1.000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29</w:t>
            </w:r>
            <w:r w:rsidRPr="00604988">
              <w:rPr>
                <w:rFonts w:eastAsia="Times New Roman"/>
                <w:bCs/>
                <w:sz w:val="22"/>
              </w:rPr>
              <w:t>.300.000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1.000 đến 1.500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32</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1.500 đến 2.000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32</w:t>
            </w:r>
            <w:r w:rsidRPr="00604988">
              <w:rPr>
                <w:rFonts w:eastAsia="Times New Roman"/>
                <w:bCs/>
                <w:sz w:val="22"/>
              </w:rPr>
              <w:t>.700.000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2.000 đến 3.000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34</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3.000 đến 5.000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35</w:t>
            </w:r>
            <w:r w:rsidRPr="00604988">
              <w:rPr>
                <w:rFonts w:eastAsia="Times New Roman"/>
                <w:bCs/>
                <w:sz w:val="22"/>
              </w:rPr>
              <w:t>.000.000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Trên 5.000 đến 7.000</w:t>
            </w:r>
            <w:r w:rsidRPr="00604988">
              <w:rPr>
                <w:rFonts w:eastAsia="Times New Roman"/>
                <w:sz w:val="22"/>
              </w:rPr>
              <w:tab/>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37</w:t>
            </w:r>
            <w:r w:rsidRPr="00604988">
              <w:rPr>
                <w:rFonts w:eastAsia="Times New Roman"/>
                <w:bCs/>
                <w:sz w:val="22"/>
              </w:rPr>
              <w:t>.300.000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sz w:val="22"/>
              </w:rPr>
              <w:t>Trên 7.000</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Cs/>
                <w:sz w:val="22"/>
              </w:rPr>
              <w:t>đồng/báo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sz w:val="22"/>
              </w:rPr>
              <w:t>40</w:t>
            </w:r>
            <w:r w:rsidRPr="00604988">
              <w:rPr>
                <w:rFonts w:eastAsia="Times New Roman"/>
                <w:bCs/>
                <w:sz w:val="22"/>
              </w:rPr>
              <w:t>.700.000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90%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bCs/>
                <w:sz w:val="22"/>
              </w:rPr>
              <w:t>10%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III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thẩm định hồ sơ cấp giấy chứng nhận quyền sử dụng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4073"/>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Tổ chức, cá nhân, hộ gia đình trong nước; người Việt Nam định cư ở nước ngoài; khi được cơ quan nhà nước cấp giấy chứng nhận quyền sử dụng đất, quyền sở hữu nhà ở và tài sản khác gắn liền với đất có nhu cầu hoặc cần thẩm định theo quy định như: các điều kiện cần và đủ để cơ quan nhà nước có thẩm quyền giao đất, cho thuê đất, công nhận quyền sử dụng đất; chuyển quyền sử dụng đất, chuyển mục đích sử dụng đất (phải xin phép) như: điều kiện về hiện trạng sử dụng đất, điều kiện về quy hoạch, kế hoạch sử dụng đất, điều kiện sinh hoạt, sản xuất kinh doanh thì phải nộp lệ phí thẩm định cấp giấy chứng nhận…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Cá nhân, hộ gia đình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a</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Phường, thị trấn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giao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cho thuê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chuyển nhượng quyền sử dụng đất, quyền sở hữu nhà ở và tài sản khác gắn liền với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b</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Các khu vực khác còn lại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giao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cho thuê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chuyển nhượng quyền sử dụng đất, quyền sở hữu nhà ở và tài sản khác gắn liền với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Tổ chức (tổ chức nhà nước và doanh nghiệp thuộc các thành phần kinh tế)</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giao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1.200.000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cho thuê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1.200.000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chuyển nhượng quyền sử dụng đất, quyền sở hữu nhà ở và tài sản khác gắn liền với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miễn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 nhân, hộ gia đình là người dân tộc thiểu số, hộ nghèo</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Gia đình liệt sỹ, thương binh, người hưởng chính sách như thương binh, người có công với cách mạng</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IV</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thẩm định đề án, báo cáo thăm dò đánh giá trữ lượng, khai thác, sử dụng nước dưới đất </w:t>
            </w:r>
            <w:r w:rsidRPr="00604988">
              <w:rPr>
                <w:rFonts w:eastAsia="Times New Roman"/>
                <w:b/>
                <w:bCs/>
                <w:i/>
                <w:iCs/>
                <w:sz w:val="22"/>
              </w:rPr>
              <w:t>(đối với hoạt động thẩm định do cơ quan địa phương thực hiện)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 nhân trong nước và tổ chức, cá nhân nước ngoài (sau đây gọi chung là tổ chức, cá nhân) có hoạt động liên quan đến  thăm dò đánh giá trữ lượng, khai thác, sử dụng nước dưới đất trên địa bàn tỉnh Kon Tum phải lập đề án, báo cáo đề nghị cơ quan nhà nước có thẩm quyền thẩm định theo quy định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Thẩm định lần đầu</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109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Thiết kế giếng thăm dò nước dưới đất; báo cáo hiện trạng khai thác nước dưới đất có lưu lượng nước dưới 200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đồng/thiết kế,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400.000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thăm dò nước dưới đất; báo cáo kết quả thăm dò đánh giá trữ lượng nước dưới đất; báo cáo hiện trạng khai thác nước dưới đất có lưu lượng nước từ 200 m3/ngày đêm đến dưới 500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1.100.000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thăm dò nước dưới đất; báo cáo kết quả thăm dò đánh giá trữ lượng nước dưới đất; báo cáo hiện trạng khai thác nước dưới đất có lưu lượng nước từ 500 m3/ngày đêm đến dưới 1.000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2.600.000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Đối với đề án thăm dò nước dưới đất; báo </w:t>
            </w:r>
            <w:r w:rsidRPr="00604988">
              <w:rPr>
                <w:rFonts w:eastAsia="Times New Roman"/>
                <w:sz w:val="22"/>
              </w:rPr>
              <w:lastRenderedPageBreak/>
              <w:t>cáo kết quả thăm dò đánh giá trữ lượng nước dưới đất; báo cáo hiện trạng khai thác nước dưới đất có lưu lượng nước từ 1.000 m3/ngày đêm đến dưới 3.000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 xml:space="preserve">đồng/đề án, </w:t>
            </w:r>
            <w:r w:rsidRPr="00604988">
              <w:rPr>
                <w:rFonts w:eastAsia="Times New Roman"/>
                <w:sz w:val="22"/>
              </w:rPr>
              <w:lastRenderedPageBreak/>
              <w:t>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5.000.000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lastRenderedPageBreak/>
              <w:t>2.2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Thẩm định hồ sơ gia hạn, điều chỉnh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Trường hợp thẩm định hồ sơ gia hạn, điều chỉnh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đồng/Báo cáo, 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50% mức thu thẩm định theo quy định</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2.3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Thẩm định hồ sơ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sz w:val="22"/>
              </w:rPr>
            </w:pPr>
            <w:r w:rsidRPr="00604988">
              <w:rPr>
                <w:rFonts w:eastAsia="Times New Roman"/>
                <w:b/>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Trường hợp thẩm định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30% mức thu thẩm định theo quy định</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sz w:val="22"/>
              </w:rPr>
            </w:pPr>
            <w:r w:rsidRPr="00604988">
              <w:rPr>
                <w:rFonts w:eastAsia="Times New Roman"/>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V</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Phí thẩm định hồ sơ, điều kiện hành nghề khoan nước dưới đất </w:t>
            </w:r>
            <w:r w:rsidRPr="00604988">
              <w:rPr>
                <w:rFonts w:eastAsia="Times New Roman"/>
                <w:b/>
                <w:bCs/>
                <w:i/>
                <w:iCs/>
                <w:sz w:val="22"/>
              </w:rPr>
              <w:t>(đối với hoạt động thẩm định do cơ quan địa phương thực hiện)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 nhân trong nước và tổ chức, cá nhân nước ngoài (sau đây gọi chung là tổ chức, cá nhân) có hoạt động liên quan điều kiện hành nghề khoan nước dưới đất trên địa bàn tỉnh Kon Tum phải lập hồ sơ đề nghị cơ quan nhà nước có thẩm quyền thẩm định theo quy định.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Thẩm định lần đầu</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Cs/>
                <w:sz w:val="22"/>
              </w:rPr>
            </w:pPr>
            <w:r w:rsidRPr="00604988">
              <w:rPr>
                <w:rFonts w:eastAsia="Times New Roman"/>
                <w:bCs/>
                <w:sz w:val="22"/>
              </w:rPr>
              <w:t>Thẩm định hồ sơ cấp giấy phép hành nghề khoan nước dưới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1.400.000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Cs/>
                <w:sz w:val="22"/>
              </w:rPr>
            </w:pPr>
            <w:r w:rsidRPr="00604988">
              <w:rPr>
                <w:rFonts w:eastAsia="Times New Roman"/>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Thẩm định hồ sơ gia hạn, điều chỉnh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Cs/>
                <w:sz w:val="22"/>
              </w:rPr>
            </w:pPr>
            <w:r w:rsidRPr="00604988">
              <w:rPr>
                <w:rFonts w:eastAsia="Times New Roman"/>
                <w:bCs/>
                <w:sz w:val="22"/>
              </w:rPr>
              <w:t xml:space="preserve">Trường hợp thẩm định hồ sơ gia hạn, điều chỉnh giấy phép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Mức thu bằng 50% mức thu thẩm định lần đầu theo quy định</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Cs/>
                <w:sz w:val="22"/>
              </w:rPr>
            </w:pPr>
            <w:r w:rsidRPr="00604988">
              <w:rPr>
                <w:rFonts w:eastAsia="Times New Roman"/>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Thẩm định hồ sơ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Cs/>
                <w:sz w:val="22"/>
              </w:rPr>
            </w:pPr>
            <w:r w:rsidRPr="00604988">
              <w:rPr>
                <w:rFonts w:eastAsia="Times New Roman"/>
                <w:bCs/>
                <w:sz w:val="22"/>
              </w:rPr>
              <w:t>Trường hợp thẩm định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 xml:space="preserve">Mức thu bằng 30% mức thu thẩm định </w:t>
            </w:r>
            <w:r w:rsidRPr="00604988">
              <w:rPr>
                <w:rFonts w:eastAsia="Times New Roman"/>
                <w:bCs/>
                <w:sz w:val="22"/>
              </w:rPr>
              <w:lastRenderedPageBreak/>
              <w:t>theo quy định</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lastRenderedPageBreak/>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Cs/>
                <w:sz w:val="22"/>
              </w:rPr>
            </w:pPr>
            <w:r w:rsidRPr="00604988">
              <w:rPr>
                <w:rFonts w:eastAsia="Times New Roman"/>
                <w:bCs/>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Cs/>
                <w:sz w:val="22"/>
              </w:rPr>
            </w:pPr>
            <w:r w:rsidRPr="00604988">
              <w:rPr>
                <w:rFonts w:eastAsia="Times New Roman"/>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lastRenderedPageBreak/>
              <w:t>VI</w:t>
            </w: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Phí thẩm định đề án khai thác, sử dụng nước mặt </w:t>
            </w:r>
            <w:r w:rsidRPr="00604988">
              <w:rPr>
                <w:rFonts w:eastAsia="Times New Roman"/>
                <w:b/>
                <w:bCs/>
                <w:i/>
                <w:iCs/>
                <w:sz w:val="22"/>
              </w:rPr>
              <w:t>(đối với hoạt động thẩm định do cơ quan địa phương thực hiện)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1847"/>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 nhân trong nước và tổ chức, cá nhân nước ngoài (sau đây gọi chung là tổ chức, cá nhân) có hoạt động liên quan đến khai thác, sử dụng nước mặt trên địa bàn tỉnh Kon Tum phải lập đề án đề nghị cơ quan nhà nước có thẩm quyền thẩm định theo quy định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Thẩm định lần đầu</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1074"/>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hiện trạng khai thác, sử dụng nước mặt cho các mục đích khác với lưu lượng trên 100 m3/ngày đêm đến dưới 500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600.000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218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hiện trạng khai thác, sử dụng nước mặt cho sản xuất nông nghiệp, nuôi trồng thủy sản với lưu lượng trên 0,1m3/giây đến dưới 0,5m3/giây; hoặc để phát điện với công suất trên 50 kw đến dưới 200 kw; hoặc cho các mục đích khác với lưu lượng từ 500 m3/ngày đêm đến dưới 3.000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1.800.000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2056"/>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hiện trạng khai thác, sử dụng nước mặt cho sản xuất nông nghiệp, nuôi trồng thủy sản với lưu lượng từ 0,5 m3/giây đến dưới 1 m3/giây; hoặc để phát điện với công suất từ 200kw đến dưới 1.000kw; hoặc cho các mục đích khác với lưu lượng từ 3.000 m3/ngày đêm đến dưới 20.000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4.400.000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2101"/>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hiện trạng khai thác, sử dụng nước mặt cho sản xuất nông nghiệp, nuôi trồng thủy sản với lưu lượng từ 1 m3/giây đến dưới 2 m3/giây; hoặc để phát điện với công suất từ 1.000 kw đến dưới 2.000 kw; hoặc cho các mục đích khác với lưu lượng từ 20.000 m3/ngày đêm đến dưới 50.000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8.400.000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2.2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Thẩm định hồ sơ gia hạn, điều chỉnh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Trường hợp thẩm định gia hạn, điều chỉnh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xml:space="preserve">Mức thu bằng 50% mức thu </w:t>
            </w:r>
            <w:r w:rsidRPr="00604988">
              <w:rPr>
                <w:rFonts w:eastAsia="Times New Roman"/>
                <w:sz w:val="22"/>
              </w:rPr>
              <w:lastRenderedPageBreak/>
              <w:t>theo quy định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lastRenderedPageBreak/>
              <w:t>2.3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Thẩm định hồ sơ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Trường hợp thẩm định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30% mức thu theo quy định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VII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 xml:space="preserve">Phí thẩm định đề án xả nước thải vào nguồn nước, công trình thủy lợi </w:t>
            </w:r>
            <w:r w:rsidRPr="00604988">
              <w:rPr>
                <w:rFonts w:eastAsia="Times New Roman"/>
                <w:b/>
                <w:bCs/>
                <w:i/>
                <w:iCs/>
                <w:sz w:val="22"/>
              </w:rPr>
              <w:t>(đối với hoạt động thẩm định do cơ quan địa phương thực hiện)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 nhân trong nước và tổ chức, cá nhân nước ngoài (sau đây gọi chung là tổ chức, cá nhân) có hoạt động liên quan đến xả nước thải vào nguồn nước, công trình thủy lợi trên địa bàn tỉnh Kon Tum phải lập đề án đề nghị cơ quan nhà nước có thẩm quyền thẩm định theo quy định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Thẩm định lần đầu</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511"/>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có lưu lượng nước dưới 100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600.000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689"/>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có lưu lượng nước từ 100 m3/ngày đêm đến dưới 500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1.800.000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77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có lưu lượng nước từ 500 m3/ngày đêm đến dưới 2.000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4.400.000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839"/>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có lưu lượng nước từ 2.000 m3/ngày đêm đến dưới 3.000 m3/ngày đêm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8.400.000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có lưu lượng nước trên 10.000 m3 đến dưới 20.000 m3/ngày đêm đối với hoạt động nuôi trồng thủy sản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11.600.000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Đối với đề án, báo cáo có lưu lượng nước từ 20.000 m3 đến dưới 30.000 m3/ngày đêm đối với hoạt động nuôi trồng thủy sản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đồng/đề án, báo cáo</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14.600.000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2.2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Thẩm định hồ sơ gia hạn, điều chỉnh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Trường hợp thẩm định gia hạn, điều chỉnh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đồng/Báo cáo, 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xml:space="preserve">Mức thu bằng 50% mức thu </w:t>
            </w:r>
            <w:r w:rsidRPr="00604988">
              <w:rPr>
                <w:rFonts w:eastAsia="Times New Roman"/>
                <w:sz w:val="22"/>
              </w:rPr>
              <w:lastRenderedPageBreak/>
              <w:t>theo quy định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lastRenderedPageBreak/>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lastRenderedPageBreak/>
              <w:t>2.3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sz w:val="22"/>
              </w:rPr>
            </w:pPr>
            <w:r w:rsidRPr="00604988">
              <w:rPr>
                <w:rFonts w:eastAsia="Times New Roman"/>
                <w:b/>
                <w:sz w:val="22"/>
              </w:rPr>
              <w:t>Thẩm định hồ sơ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sz w:val="22"/>
              </w:rPr>
            </w:pPr>
            <w:r w:rsidRPr="00604988">
              <w:rPr>
                <w:rFonts w:eastAsia="Times New Roman"/>
                <w:b/>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Trường hợp thẩm định cấp lại giấy phép</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Mức thu bằng 30% mức thu theo quy định nêu trên</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VIII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khai thác và sử dụng tài liệu đất đai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1132"/>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Tổ chức, cá nhân có nhu cầu khai thác và sử dụng tài liệu về đất đai của các cơ quan nhà nước có thẩm quyền quản lý hồ sơ, tài liệu về đất đai theo quy định</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a</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Tài liệu về độ cao</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Tọa độ địa chính cơ sở</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đồng/điểm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Tọa độ độ cao điểm địa chính I</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đồng/điểm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270.000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Tọa độ độ cao điểm địa chính II</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đồng/điểm</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240.000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b</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Bản đồ chuyên đề các loại</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Bản đồ địa hình</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đồng/tờ</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60.000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Bản đồ hiện trạng, bản đồ quy hoạch, bản đồ phân hạng đất, bản đồ tài nguyên khoáng sản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đồng/tờ</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Bản đồ địa chính</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đồng/tờ</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c</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Tài liệu, hồ sơ</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 xml:space="preserve">Xác định tính pháp lý hồ sơ đất </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đồng/bộ</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60.000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qui hoạch, kế hoạch sử dụng đất</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đồng/bộ</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Hồ sơ tài nguyên môi trường</w:t>
            </w:r>
          </w:p>
        </w:tc>
        <w:tc>
          <w:tcPr>
            <w:tcW w:w="159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đồng/bộ</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75%</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B85D65"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center"/>
              <w:rPr>
                <w:rFonts w:eastAsia="Times New Roman"/>
                <w:sz w:val="26"/>
              </w:rPr>
            </w:pPr>
            <w:r w:rsidRPr="00B85D65">
              <w:rPr>
                <w:b/>
                <w:sz w:val="26"/>
              </w:rPr>
              <w:t>E</w:t>
            </w:r>
          </w:p>
        </w:tc>
        <w:tc>
          <w:tcPr>
            <w:tcW w:w="10074" w:type="dxa"/>
            <w:gridSpan w:val="6"/>
            <w:tcBorders>
              <w:top w:val="single" w:sz="4" w:space="0" w:color="auto"/>
              <w:left w:val="nil"/>
              <w:bottom w:val="single" w:sz="4" w:space="0" w:color="auto"/>
              <w:right w:val="single" w:sz="4" w:space="0" w:color="auto"/>
            </w:tcBorders>
            <w:shd w:val="clear" w:color="auto" w:fill="auto"/>
            <w:vAlign w:val="center"/>
          </w:tcPr>
          <w:p w:rsidR="00884DED" w:rsidRPr="00B85D65" w:rsidRDefault="00884DED" w:rsidP="00E82FA4">
            <w:pPr>
              <w:spacing w:after="0" w:line="240" w:lineRule="auto"/>
              <w:jc w:val="both"/>
              <w:rPr>
                <w:rFonts w:eastAsia="Times New Roman"/>
                <w:sz w:val="26"/>
              </w:rPr>
            </w:pPr>
            <w:r w:rsidRPr="00B85D65">
              <w:rPr>
                <w:b/>
                <w:sz w:val="26"/>
              </w:rPr>
              <w:t>PHÍ THUỘC LĨNH VỰC TƯ PHÁP</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cung cấp thông tin về giao dịch bảo đảm bằng quyền sử dụng đất, tài sản gắn liền với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bottom"/>
          </w:tcPr>
          <w:p w:rsidR="00884DED" w:rsidRPr="00604988" w:rsidRDefault="00884DED" w:rsidP="00E82FA4">
            <w:pPr>
              <w:spacing w:after="0" w:line="240" w:lineRule="auto"/>
              <w:jc w:val="both"/>
              <w:rPr>
                <w:rFonts w:eastAsia="Times New Roman"/>
                <w:sz w:val="22"/>
              </w:rPr>
            </w:pPr>
            <w:r w:rsidRPr="00604988">
              <w:rPr>
                <w:rFonts w:eastAsia="Times New Roman"/>
                <w:sz w:val="22"/>
              </w:rPr>
              <w:t>Các tổ chức, cá nhân có yêu cầu cung cấp thông tin về giao dịch bảo đảm về quyền sử dụng đất, tài sản gắn liền với đất</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II</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Phí đăng ký giao dịch bảo đảm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1</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nộp phí (*)</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902"/>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Cs/>
                <w:sz w:val="22"/>
              </w:rPr>
            </w:pPr>
            <w:r w:rsidRPr="00604988">
              <w:rPr>
                <w:rFonts w:eastAsia="Times New Roman"/>
                <w:bCs/>
                <w:sz w:val="22"/>
              </w:rPr>
              <w:t>Các tổ chức, cá nhân và hộ gia đình trên địa bàn tỉnh Kon Tum có yêu cầu đăng ký giao dịch bảo đảm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2</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Nội dung thu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sz w:val="22"/>
              </w:rPr>
              <w:t>Kể từ ngày Nghị quyết này có hiệu lực, đối tượng nộp phí (*) nêu trên nộp 80% mức thu phí cho đến hết ngày 31 tháng 12 năm 2020</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Đăng ký giao dịch bảo đảm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80.000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511"/>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Đăng ký văn bản thông báo về việc xử lý tài sản bảo đảm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30.000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56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Đăng ký thay đổi nội dung giao dịch bảo đảm đã đăng ký</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60.000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Xóa đăng ký giao dịch bảo đảm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đồng/hồ sơ</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20.000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587"/>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Cấp bản sao văn bản chứng nhận nội dung đăng ký giao dịch bảo đảm</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đồng/trường hợp</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25.000</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50%</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300"/>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3</w:t>
            </w: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b/>
                <w:bCs/>
                <w:sz w:val="22"/>
              </w:rPr>
            </w:pPr>
            <w:r w:rsidRPr="00604988">
              <w:rPr>
                <w:rFonts w:eastAsia="Times New Roman"/>
                <w:b/>
                <w:bCs/>
                <w:sz w:val="22"/>
              </w:rPr>
              <w:t>Đối tượng miễn nộp phí</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b/>
                <w:bCs/>
                <w:sz w:val="22"/>
              </w:rPr>
            </w:pPr>
            <w:r w:rsidRPr="00604988">
              <w:rPr>
                <w:rFonts w:eastAsia="Times New Roman"/>
                <w:b/>
                <w:bCs/>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2455"/>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Cá nhân, hộ gia đình khi đăng ký giao dịch bảo đảm để vay vốn tại tổ chức tín dụng để sản xuất, kinh doanh theo quy định tại Nghị định số 55/2015/NĐ-CP ngày 09 tháng 6 năm 2015 và Nghị định số 116/2018/NĐ-CP ngày 07 tháng 9 năm 2018 củaChính phủ về chính sách tín dụng phục vụ phát triển nông nghiệp, nông thôn</w:t>
            </w:r>
          </w:p>
        </w:tc>
        <w:tc>
          <w:tcPr>
            <w:tcW w:w="1598"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nil"/>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r w:rsidR="00884DED" w:rsidRPr="00604988" w:rsidTr="00E82FA4">
        <w:trPr>
          <w:trHeight w:val="872"/>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p>
        </w:tc>
        <w:tc>
          <w:tcPr>
            <w:tcW w:w="3928"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both"/>
              <w:rPr>
                <w:rFonts w:eastAsia="Times New Roman"/>
                <w:sz w:val="22"/>
              </w:rPr>
            </w:pPr>
            <w:r w:rsidRPr="00604988">
              <w:rPr>
                <w:rFonts w:eastAsia="Times New Roman"/>
                <w:sz w:val="22"/>
              </w:rPr>
              <w:t>Yêu cầu sửa chữa sai sót về nội dung đăng ký giao dịch bảo đảm, hợp đồng cho thuê tài chính do lỗi của Đăng ký viên</w:t>
            </w: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Miễn thu</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jc w:val="center"/>
              <w:rPr>
                <w:rFonts w:eastAsia="Times New Roman"/>
                <w:sz w:val="22"/>
              </w:rPr>
            </w:pPr>
            <w:r w:rsidRPr="00604988">
              <w:rPr>
                <w:rFonts w:eastAsia="Times New Roman"/>
                <w:sz w:val="22"/>
              </w:rPr>
              <w:t> </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884DED" w:rsidRPr="00604988" w:rsidRDefault="00884DED" w:rsidP="00E82FA4">
            <w:pPr>
              <w:spacing w:after="0" w:line="240" w:lineRule="auto"/>
              <w:rPr>
                <w:rFonts w:eastAsia="Times New Roman"/>
                <w:b/>
                <w:bCs/>
                <w:sz w:val="22"/>
              </w:rPr>
            </w:pPr>
            <w:r w:rsidRPr="00604988">
              <w:rPr>
                <w:rFonts w:eastAsia="Times New Roman"/>
                <w:b/>
                <w:bCs/>
                <w:sz w:val="22"/>
              </w:rPr>
              <w:t> </w:t>
            </w:r>
          </w:p>
        </w:tc>
      </w:tr>
    </w:tbl>
    <w:p w:rsidR="00B46A04" w:rsidRDefault="009829D1" w:rsidP="00884DED"/>
    <w:sectPr w:rsidR="00B46A04" w:rsidSect="00932CCC">
      <w:headerReference w:type="default" r:id="rId7"/>
      <w:pgSz w:w="11907" w:h="16840" w:code="9"/>
      <w:pgMar w:top="1134" w:right="1134"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29D1" w:rsidRDefault="009829D1" w:rsidP="00932CCC">
      <w:pPr>
        <w:spacing w:after="0" w:line="240" w:lineRule="auto"/>
      </w:pPr>
      <w:r>
        <w:separator/>
      </w:r>
    </w:p>
  </w:endnote>
  <w:endnote w:type="continuationSeparator" w:id="1">
    <w:p w:rsidR="009829D1" w:rsidRDefault="009829D1" w:rsidP="00932C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29D1" w:rsidRDefault="009829D1" w:rsidP="00932CCC">
      <w:pPr>
        <w:spacing w:after="0" w:line="240" w:lineRule="auto"/>
      </w:pPr>
      <w:r>
        <w:separator/>
      </w:r>
    </w:p>
  </w:footnote>
  <w:footnote w:type="continuationSeparator" w:id="1">
    <w:p w:rsidR="009829D1" w:rsidRDefault="009829D1" w:rsidP="00932C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785931"/>
      <w:docPartObj>
        <w:docPartGallery w:val="Page Numbers (Top of Page)"/>
        <w:docPartUnique/>
      </w:docPartObj>
    </w:sdtPr>
    <w:sdtEndPr>
      <w:rPr>
        <w:noProof/>
      </w:rPr>
    </w:sdtEndPr>
    <w:sdtContent>
      <w:p w:rsidR="00932CCC" w:rsidRDefault="002C7DED">
        <w:pPr>
          <w:pStyle w:val="Header"/>
          <w:jc w:val="center"/>
        </w:pPr>
        <w:r>
          <w:fldChar w:fldCharType="begin"/>
        </w:r>
        <w:r w:rsidR="00932CCC">
          <w:instrText xml:space="preserve"> PAGE   \* MERGEFORMAT </w:instrText>
        </w:r>
        <w:r>
          <w:fldChar w:fldCharType="separate"/>
        </w:r>
        <w:r w:rsidR="00A149D6">
          <w:rPr>
            <w:noProof/>
          </w:rPr>
          <w:t>2</w:t>
        </w:r>
        <w:r>
          <w:rPr>
            <w:noProof/>
          </w:rPr>
          <w:fldChar w:fldCharType="end"/>
        </w:r>
      </w:p>
    </w:sdtContent>
  </w:sdt>
  <w:p w:rsidR="00932CCC" w:rsidRDefault="00932C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27975"/>
    <w:multiLevelType w:val="hybridMultilevel"/>
    <w:tmpl w:val="A2562EF2"/>
    <w:lvl w:ilvl="0" w:tplc="59B85790">
      <w:start w:val="1"/>
      <w:numFmt w:val="decimal"/>
      <w:lvlText w:val="%1."/>
      <w:lvlJc w:val="left"/>
      <w:pPr>
        <w:tabs>
          <w:tab w:val="num" w:pos="904"/>
        </w:tabs>
        <w:ind w:left="904" w:hanging="360"/>
      </w:pPr>
      <w:rPr>
        <w:rFonts w:hint="default"/>
      </w:rPr>
    </w:lvl>
    <w:lvl w:ilvl="1" w:tplc="04090019" w:tentative="1">
      <w:start w:val="1"/>
      <w:numFmt w:val="lowerLetter"/>
      <w:lvlText w:val="%2."/>
      <w:lvlJc w:val="left"/>
      <w:pPr>
        <w:tabs>
          <w:tab w:val="num" w:pos="1624"/>
        </w:tabs>
        <w:ind w:left="1624" w:hanging="360"/>
      </w:pPr>
    </w:lvl>
    <w:lvl w:ilvl="2" w:tplc="0409001B" w:tentative="1">
      <w:start w:val="1"/>
      <w:numFmt w:val="lowerRoman"/>
      <w:lvlText w:val="%3."/>
      <w:lvlJc w:val="right"/>
      <w:pPr>
        <w:tabs>
          <w:tab w:val="num" w:pos="2344"/>
        </w:tabs>
        <w:ind w:left="2344" w:hanging="180"/>
      </w:pPr>
    </w:lvl>
    <w:lvl w:ilvl="3" w:tplc="0409000F" w:tentative="1">
      <w:start w:val="1"/>
      <w:numFmt w:val="decimal"/>
      <w:lvlText w:val="%4."/>
      <w:lvlJc w:val="left"/>
      <w:pPr>
        <w:tabs>
          <w:tab w:val="num" w:pos="3064"/>
        </w:tabs>
        <w:ind w:left="3064" w:hanging="360"/>
      </w:pPr>
    </w:lvl>
    <w:lvl w:ilvl="4" w:tplc="04090019" w:tentative="1">
      <w:start w:val="1"/>
      <w:numFmt w:val="lowerLetter"/>
      <w:lvlText w:val="%5."/>
      <w:lvlJc w:val="left"/>
      <w:pPr>
        <w:tabs>
          <w:tab w:val="num" w:pos="3784"/>
        </w:tabs>
        <w:ind w:left="3784" w:hanging="360"/>
      </w:pPr>
    </w:lvl>
    <w:lvl w:ilvl="5" w:tplc="0409001B" w:tentative="1">
      <w:start w:val="1"/>
      <w:numFmt w:val="lowerRoman"/>
      <w:lvlText w:val="%6."/>
      <w:lvlJc w:val="right"/>
      <w:pPr>
        <w:tabs>
          <w:tab w:val="num" w:pos="4504"/>
        </w:tabs>
        <w:ind w:left="4504" w:hanging="180"/>
      </w:pPr>
    </w:lvl>
    <w:lvl w:ilvl="6" w:tplc="0409000F" w:tentative="1">
      <w:start w:val="1"/>
      <w:numFmt w:val="decimal"/>
      <w:lvlText w:val="%7."/>
      <w:lvlJc w:val="left"/>
      <w:pPr>
        <w:tabs>
          <w:tab w:val="num" w:pos="5224"/>
        </w:tabs>
        <w:ind w:left="5224" w:hanging="360"/>
      </w:pPr>
    </w:lvl>
    <w:lvl w:ilvl="7" w:tplc="04090019" w:tentative="1">
      <w:start w:val="1"/>
      <w:numFmt w:val="lowerLetter"/>
      <w:lvlText w:val="%8."/>
      <w:lvlJc w:val="left"/>
      <w:pPr>
        <w:tabs>
          <w:tab w:val="num" w:pos="5944"/>
        </w:tabs>
        <w:ind w:left="5944" w:hanging="360"/>
      </w:pPr>
    </w:lvl>
    <w:lvl w:ilvl="8" w:tplc="0409001B" w:tentative="1">
      <w:start w:val="1"/>
      <w:numFmt w:val="lowerRoman"/>
      <w:lvlText w:val="%9."/>
      <w:lvlJc w:val="right"/>
      <w:pPr>
        <w:tabs>
          <w:tab w:val="num" w:pos="6664"/>
        </w:tabs>
        <w:ind w:left="6664" w:hanging="180"/>
      </w:pPr>
    </w:lvl>
  </w:abstractNum>
  <w:abstractNum w:abstractNumId="1">
    <w:nsid w:val="361B77FD"/>
    <w:multiLevelType w:val="hybridMultilevel"/>
    <w:tmpl w:val="BEBA7674"/>
    <w:lvl w:ilvl="0" w:tplc="D1822422">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9384C80"/>
    <w:multiLevelType w:val="hybridMultilevel"/>
    <w:tmpl w:val="15769042"/>
    <w:lvl w:ilvl="0" w:tplc="282C9C6A">
      <w:start w:val="4"/>
      <w:numFmt w:val="bullet"/>
      <w:lvlText w:val="-"/>
      <w:lvlJc w:val="left"/>
      <w:pPr>
        <w:tabs>
          <w:tab w:val="num" w:pos="904"/>
        </w:tabs>
        <w:ind w:left="904" w:hanging="360"/>
      </w:pPr>
      <w:rPr>
        <w:rFonts w:ascii="Times New Roman" w:eastAsia="Times New Roman" w:hAnsi="Times New Roman" w:cs="Times New Roman" w:hint="default"/>
      </w:rPr>
    </w:lvl>
    <w:lvl w:ilvl="1" w:tplc="04090003" w:tentative="1">
      <w:start w:val="1"/>
      <w:numFmt w:val="bullet"/>
      <w:lvlText w:val="o"/>
      <w:lvlJc w:val="left"/>
      <w:pPr>
        <w:tabs>
          <w:tab w:val="num" w:pos="1624"/>
        </w:tabs>
        <w:ind w:left="1624" w:hanging="360"/>
      </w:pPr>
      <w:rPr>
        <w:rFonts w:ascii="Courier New" w:hAnsi="Courier New" w:hint="default"/>
      </w:rPr>
    </w:lvl>
    <w:lvl w:ilvl="2" w:tplc="04090005" w:tentative="1">
      <w:start w:val="1"/>
      <w:numFmt w:val="bullet"/>
      <w:lvlText w:val=""/>
      <w:lvlJc w:val="left"/>
      <w:pPr>
        <w:tabs>
          <w:tab w:val="num" w:pos="2344"/>
        </w:tabs>
        <w:ind w:left="2344" w:hanging="360"/>
      </w:pPr>
      <w:rPr>
        <w:rFonts w:ascii="Wingdings" w:hAnsi="Wingdings" w:hint="default"/>
      </w:rPr>
    </w:lvl>
    <w:lvl w:ilvl="3" w:tplc="04090001" w:tentative="1">
      <w:start w:val="1"/>
      <w:numFmt w:val="bullet"/>
      <w:lvlText w:val=""/>
      <w:lvlJc w:val="left"/>
      <w:pPr>
        <w:tabs>
          <w:tab w:val="num" w:pos="3064"/>
        </w:tabs>
        <w:ind w:left="3064" w:hanging="360"/>
      </w:pPr>
      <w:rPr>
        <w:rFonts w:ascii="Symbol" w:hAnsi="Symbol" w:hint="default"/>
      </w:rPr>
    </w:lvl>
    <w:lvl w:ilvl="4" w:tplc="04090003" w:tentative="1">
      <w:start w:val="1"/>
      <w:numFmt w:val="bullet"/>
      <w:lvlText w:val="o"/>
      <w:lvlJc w:val="left"/>
      <w:pPr>
        <w:tabs>
          <w:tab w:val="num" w:pos="3784"/>
        </w:tabs>
        <w:ind w:left="3784" w:hanging="360"/>
      </w:pPr>
      <w:rPr>
        <w:rFonts w:ascii="Courier New" w:hAnsi="Courier New" w:hint="default"/>
      </w:rPr>
    </w:lvl>
    <w:lvl w:ilvl="5" w:tplc="04090005" w:tentative="1">
      <w:start w:val="1"/>
      <w:numFmt w:val="bullet"/>
      <w:lvlText w:val=""/>
      <w:lvlJc w:val="left"/>
      <w:pPr>
        <w:tabs>
          <w:tab w:val="num" w:pos="4504"/>
        </w:tabs>
        <w:ind w:left="4504" w:hanging="360"/>
      </w:pPr>
      <w:rPr>
        <w:rFonts w:ascii="Wingdings" w:hAnsi="Wingdings" w:hint="default"/>
      </w:rPr>
    </w:lvl>
    <w:lvl w:ilvl="6" w:tplc="04090001" w:tentative="1">
      <w:start w:val="1"/>
      <w:numFmt w:val="bullet"/>
      <w:lvlText w:val=""/>
      <w:lvlJc w:val="left"/>
      <w:pPr>
        <w:tabs>
          <w:tab w:val="num" w:pos="5224"/>
        </w:tabs>
        <w:ind w:left="5224" w:hanging="360"/>
      </w:pPr>
      <w:rPr>
        <w:rFonts w:ascii="Symbol" w:hAnsi="Symbol" w:hint="default"/>
      </w:rPr>
    </w:lvl>
    <w:lvl w:ilvl="7" w:tplc="04090003" w:tentative="1">
      <w:start w:val="1"/>
      <w:numFmt w:val="bullet"/>
      <w:lvlText w:val="o"/>
      <w:lvlJc w:val="left"/>
      <w:pPr>
        <w:tabs>
          <w:tab w:val="num" w:pos="5944"/>
        </w:tabs>
        <w:ind w:left="5944" w:hanging="360"/>
      </w:pPr>
      <w:rPr>
        <w:rFonts w:ascii="Courier New" w:hAnsi="Courier New" w:hint="default"/>
      </w:rPr>
    </w:lvl>
    <w:lvl w:ilvl="8" w:tplc="04090005" w:tentative="1">
      <w:start w:val="1"/>
      <w:numFmt w:val="bullet"/>
      <w:lvlText w:val=""/>
      <w:lvlJc w:val="left"/>
      <w:pPr>
        <w:tabs>
          <w:tab w:val="num" w:pos="6664"/>
        </w:tabs>
        <w:ind w:left="6664" w:hanging="360"/>
      </w:pPr>
      <w:rPr>
        <w:rFonts w:ascii="Wingdings" w:hAnsi="Wingdings" w:hint="default"/>
      </w:rPr>
    </w:lvl>
  </w:abstractNum>
  <w:abstractNum w:abstractNumId="3">
    <w:nsid w:val="3F6849CB"/>
    <w:multiLevelType w:val="hybridMultilevel"/>
    <w:tmpl w:val="551CAA14"/>
    <w:lvl w:ilvl="0" w:tplc="651A164C">
      <w:start w:val="3"/>
      <w:numFmt w:val="decimal"/>
      <w:lvlText w:val="%1."/>
      <w:lvlJc w:val="left"/>
      <w:pPr>
        <w:tabs>
          <w:tab w:val="num" w:pos="904"/>
        </w:tabs>
        <w:ind w:left="904" w:hanging="360"/>
      </w:pPr>
      <w:rPr>
        <w:rFonts w:hint="default"/>
      </w:rPr>
    </w:lvl>
    <w:lvl w:ilvl="1" w:tplc="B45EF8EC">
      <w:numFmt w:val="none"/>
      <w:lvlText w:val=""/>
      <w:lvlJc w:val="left"/>
      <w:pPr>
        <w:tabs>
          <w:tab w:val="num" w:pos="360"/>
        </w:tabs>
      </w:pPr>
    </w:lvl>
    <w:lvl w:ilvl="2" w:tplc="20FE2AF4">
      <w:numFmt w:val="none"/>
      <w:lvlText w:val=""/>
      <w:lvlJc w:val="left"/>
      <w:pPr>
        <w:tabs>
          <w:tab w:val="num" w:pos="360"/>
        </w:tabs>
      </w:pPr>
    </w:lvl>
    <w:lvl w:ilvl="3" w:tplc="1F58FAF4">
      <w:numFmt w:val="none"/>
      <w:lvlText w:val=""/>
      <w:lvlJc w:val="left"/>
      <w:pPr>
        <w:tabs>
          <w:tab w:val="num" w:pos="360"/>
        </w:tabs>
      </w:pPr>
    </w:lvl>
    <w:lvl w:ilvl="4" w:tplc="26003FCE">
      <w:numFmt w:val="none"/>
      <w:lvlText w:val=""/>
      <w:lvlJc w:val="left"/>
      <w:pPr>
        <w:tabs>
          <w:tab w:val="num" w:pos="360"/>
        </w:tabs>
      </w:pPr>
    </w:lvl>
    <w:lvl w:ilvl="5" w:tplc="2BA6D394">
      <w:numFmt w:val="none"/>
      <w:lvlText w:val=""/>
      <w:lvlJc w:val="left"/>
      <w:pPr>
        <w:tabs>
          <w:tab w:val="num" w:pos="360"/>
        </w:tabs>
      </w:pPr>
    </w:lvl>
    <w:lvl w:ilvl="6" w:tplc="66A064F2">
      <w:numFmt w:val="none"/>
      <w:lvlText w:val=""/>
      <w:lvlJc w:val="left"/>
      <w:pPr>
        <w:tabs>
          <w:tab w:val="num" w:pos="360"/>
        </w:tabs>
      </w:pPr>
    </w:lvl>
    <w:lvl w:ilvl="7" w:tplc="31E22124">
      <w:numFmt w:val="none"/>
      <w:lvlText w:val=""/>
      <w:lvlJc w:val="left"/>
      <w:pPr>
        <w:tabs>
          <w:tab w:val="num" w:pos="360"/>
        </w:tabs>
      </w:pPr>
    </w:lvl>
    <w:lvl w:ilvl="8" w:tplc="DD52500C">
      <w:numFmt w:val="none"/>
      <w:lvlText w:val=""/>
      <w:lvlJc w:val="left"/>
      <w:pPr>
        <w:tabs>
          <w:tab w:val="num" w:pos="360"/>
        </w:tabs>
      </w:pPr>
    </w:lvl>
  </w:abstractNum>
  <w:abstractNum w:abstractNumId="4">
    <w:nsid w:val="6F2772DF"/>
    <w:multiLevelType w:val="hybridMultilevel"/>
    <w:tmpl w:val="304C1AD2"/>
    <w:lvl w:ilvl="0" w:tplc="2C0ADB9E">
      <w:start w:val="1"/>
      <w:numFmt w:val="decimal"/>
      <w:lvlText w:val="%1."/>
      <w:lvlJc w:val="left"/>
      <w:pPr>
        <w:tabs>
          <w:tab w:val="num" w:pos="904"/>
        </w:tabs>
        <w:ind w:left="904" w:hanging="360"/>
      </w:pPr>
      <w:rPr>
        <w:rFonts w:hint="default"/>
      </w:rPr>
    </w:lvl>
    <w:lvl w:ilvl="1" w:tplc="E2A08FA0">
      <w:numFmt w:val="none"/>
      <w:lvlText w:val=""/>
      <w:lvlJc w:val="left"/>
      <w:pPr>
        <w:tabs>
          <w:tab w:val="num" w:pos="360"/>
        </w:tabs>
      </w:pPr>
    </w:lvl>
    <w:lvl w:ilvl="2" w:tplc="4EBC0E2A">
      <w:numFmt w:val="none"/>
      <w:lvlText w:val=""/>
      <w:lvlJc w:val="left"/>
      <w:pPr>
        <w:tabs>
          <w:tab w:val="num" w:pos="360"/>
        </w:tabs>
      </w:pPr>
    </w:lvl>
    <w:lvl w:ilvl="3" w:tplc="C694ADD8">
      <w:numFmt w:val="none"/>
      <w:lvlText w:val=""/>
      <w:lvlJc w:val="left"/>
      <w:pPr>
        <w:tabs>
          <w:tab w:val="num" w:pos="360"/>
        </w:tabs>
      </w:pPr>
    </w:lvl>
    <w:lvl w:ilvl="4" w:tplc="D7488BCA">
      <w:numFmt w:val="none"/>
      <w:lvlText w:val=""/>
      <w:lvlJc w:val="left"/>
      <w:pPr>
        <w:tabs>
          <w:tab w:val="num" w:pos="360"/>
        </w:tabs>
      </w:pPr>
    </w:lvl>
    <w:lvl w:ilvl="5" w:tplc="51D82ABE">
      <w:numFmt w:val="none"/>
      <w:lvlText w:val=""/>
      <w:lvlJc w:val="left"/>
      <w:pPr>
        <w:tabs>
          <w:tab w:val="num" w:pos="360"/>
        </w:tabs>
      </w:pPr>
    </w:lvl>
    <w:lvl w:ilvl="6" w:tplc="1FB234B8">
      <w:numFmt w:val="none"/>
      <w:lvlText w:val=""/>
      <w:lvlJc w:val="left"/>
      <w:pPr>
        <w:tabs>
          <w:tab w:val="num" w:pos="360"/>
        </w:tabs>
      </w:pPr>
    </w:lvl>
    <w:lvl w:ilvl="7" w:tplc="C9344324">
      <w:numFmt w:val="none"/>
      <w:lvlText w:val=""/>
      <w:lvlJc w:val="left"/>
      <w:pPr>
        <w:tabs>
          <w:tab w:val="num" w:pos="360"/>
        </w:tabs>
      </w:pPr>
    </w:lvl>
    <w:lvl w:ilvl="8" w:tplc="307C85A0">
      <w:numFmt w:val="none"/>
      <w:lvlText w:val=""/>
      <w:lvlJc w:val="left"/>
      <w:pPr>
        <w:tabs>
          <w:tab w:val="num" w:pos="360"/>
        </w:tabs>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884DED"/>
    <w:rsid w:val="00030D1E"/>
    <w:rsid w:val="001725C6"/>
    <w:rsid w:val="001B6190"/>
    <w:rsid w:val="002C7DED"/>
    <w:rsid w:val="003B763D"/>
    <w:rsid w:val="003E2F75"/>
    <w:rsid w:val="00643472"/>
    <w:rsid w:val="006D2E52"/>
    <w:rsid w:val="00884DED"/>
    <w:rsid w:val="0091257B"/>
    <w:rsid w:val="00932CCC"/>
    <w:rsid w:val="009829D1"/>
    <w:rsid w:val="00A149D6"/>
    <w:rsid w:val="00AE484C"/>
    <w:rsid w:val="00B80E0E"/>
    <w:rsid w:val="00BA0ECA"/>
    <w:rsid w:val="00C46906"/>
    <w:rsid w:val="00D174A4"/>
    <w:rsid w:val="00E56C9E"/>
    <w:rsid w:val="00F32C1B"/>
    <w:rsid w:val="00FD40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DED"/>
    <w:pPr>
      <w:spacing w:after="160" w:line="259" w:lineRule="auto"/>
    </w:pPr>
    <w:rPr>
      <w:sz w:val="28"/>
      <w:szCs w:val="22"/>
    </w:rPr>
  </w:style>
  <w:style w:type="paragraph" w:styleId="Heading1">
    <w:name w:val="heading 1"/>
    <w:basedOn w:val="Normal"/>
    <w:next w:val="Normal"/>
    <w:link w:val="Heading1Char"/>
    <w:qFormat/>
    <w:rsid w:val="00884DED"/>
    <w:pPr>
      <w:keepNext/>
      <w:spacing w:after="0" w:line="240" w:lineRule="auto"/>
      <w:outlineLvl w:val="0"/>
    </w:pPr>
    <w:rPr>
      <w:rFonts w:eastAsia="Times New Roman"/>
      <w:szCs w:val="24"/>
    </w:rPr>
  </w:style>
  <w:style w:type="paragraph" w:styleId="Heading2">
    <w:name w:val="heading 2"/>
    <w:basedOn w:val="Normal"/>
    <w:next w:val="Normal"/>
    <w:link w:val="Heading2Char"/>
    <w:qFormat/>
    <w:rsid w:val="00884DED"/>
    <w:pPr>
      <w:keepNext/>
      <w:spacing w:after="0" w:line="240" w:lineRule="auto"/>
      <w:jc w:val="center"/>
      <w:outlineLvl w:val="1"/>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4DED"/>
    <w:rPr>
      <w:rFonts w:eastAsia="Times New Roman"/>
      <w:sz w:val="28"/>
      <w:szCs w:val="24"/>
    </w:rPr>
  </w:style>
  <w:style w:type="character" w:customStyle="1" w:styleId="Heading2Char">
    <w:name w:val="Heading 2 Char"/>
    <w:basedOn w:val="DefaultParagraphFont"/>
    <w:link w:val="Heading2"/>
    <w:rsid w:val="00884DED"/>
    <w:rPr>
      <w:rFonts w:eastAsia="Times New Roman"/>
      <w:sz w:val="28"/>
      <w:szCs w:val="24"/>
    </w:rPr>
  </w:style>
  <w:style w:type="paragraph" w:styleId="Header">
    <w:name w:val="header"/>
    <w:basedOn w:val="Normal"/>
    <w:link w:val="HeaderChar"/>
    <w:uiPriority w:val="99"/>
    <w:unhideWhenUsed/>
    <w:rsid w:val="0088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DED"/>
    <w:rPr>
      <w:sz w:val="28"/>
      <w:szCs w:val="22"/>
    </w:rPr>
  </w:style>
  <w:style w:type="paragraph" w:styleId="Footer">
    <w:name w:val="footer"/>
    <w:basedOn w:val="Normal"/>
    <w:link w:val="FooterChar"/>
    <w:uiPriority w:val="99"/>
    <w:unhideWhenUsed/>
    <w:rsid w:val="0088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4DED"/>
    <w:rPr>
      <w:sz w:val="28"/>
      <w:szCs w:val="22"/>
    </w:rPr>
  </w:style>
  <w:style w:type="numbering" w:customStyle="1" w:styleId="NoList1">
    <w:name w:val="No List1"/>
    <w:next w:val="NoList"/>
    <w:uiPriority w:val="99"/>
    <w:semiHidden/>
    <w:rsid w:val="00884DED"/>
  </w:style>
  <w:style w:type="paragraph" w:styleId="BodyTextIndent">
    <w:name w:val="Body Text Indent"/>
    <w:basedOn w:val="Normal"/>
    <w:link w:val="BodyTextIndentChar"/>
    <w:rsid w:val="00884DED"/>
    <w:pPr>
      <w:widowControl w:val="0"/>
      <w:spacing w:after="0" w:line="240" w:lineRule="auto"/>
      <w:ind w:firstLine="544"/>
      <w:jc w:val="both"/>
    </w:pPr>
    <w:rPr>
      <w:rFonts w:eastAsia="Times New Roman"/>
      <w:szCs w:val="28"/>
      <w:lang w:val="nl-NL"/>
    </w:rPr>
  </w:style>
  <w:style w:type="character" w:customStyle="1" w:styleId="BodyTextIndentChar">
    <w:name w:val="Body Text Indent Char"/>
    <w:basedOn w:val="DefaultParagraphFont"/>
    <w:link w:val="BodyTextIndent"/>
    <w:rsid w:val="00884DED"/>
    <w:rPr>
      <w:rFonts w:eastAsia="Times New Roman"/>
      <w:sz w:val="28"/>
      <w:szCs w:val="28"/>
      <w:lang w:val="nl-NL"/>
    </w:rPr>
  </w:style>
  <w:style w:type="paragraph" w:styleId="BodyTextIndent2">
    <w:name w:val="Body Text Indent 2"/>
    <w:basedOn w:val="Normal"/>
    <w:link w:val="BodyTextIndent2Char"/>
    <w:rsid w:val="00884DED"/>
    <w:pPr>
      <w:spacing w:after="0" w:line="240" w:lineRule="auto"/>
      <w:ind w:firstLine="720"/>
      <w:jc w:val="both"/>
    </w:pPr>
    <w:rPr>
      <w:rFonts w:eastAsia="Times New Roman"/>
      <w:szCs w:val="24"/>
    </w:rPr>
  </w:style>
  <w:style w:type="character" w:customStyle="1" w:styleId="BodyTextIndent2Char">
    <w:name w:val="Body Text Indent 2 Char"/>
    <w:basedOn w:val="DefaultParagraphFont"/>
    <w:link w:val="BodyTextIndent2"/>
    <w:rsid w:val="00884DED"/>
    <w:rPr>
      <w:rFonts w:eastAsia="Times New Roman"/>
      <w:sz w:val="28"/>
      <w:szCs w:val="24"/>
    </w:rPr>
  </w:style>
  <w:style w:type="paragraph" w:styleId="BodyText2">
    <w:name w:val="Body Text 2"/>
    <w:basedOn w:val="Normal"/>
    <w:link w:val="BodyText2Char"/>
    <w:rsid w:val="00884DED"/>
    <w:pPr>
      <w:autoSpaceDE w:val="0"/>
      <w:autoSpaceDN w:val="0"/>
      <w:spacing w:before="120" w:after="120" w:line="240" w:lineRule="auto"/>
      <w:ind w:firstLine="720"/>
      <w:jc w:val="both"/>
    </w:pPr>
    <w:rPr>
      <w:rFonts w:ascii=".VnTime" w:eastAsia="Times New Roman" w:hAnsi=".VnTime"/>
      <w:szCs w:val="28"/>
    </w:rPr>
  </w:style>
  <w:style w:type="character" w:customStyle="1" w:styleId="BodyText2Char">
    <w:name w:val="Body Text 2 Char"/>
    <w:basedOn w:val="DefaultParagraphFont"/>
    <w:link w:val="BodyText2"/>
    <w:rsid w:val="00884DED"/>
    <w:rPr>
      <w:rFonts w:ascii=".VnTime" w:eastAsia="Times New Roman" w:hAnsi=".VnTime"/>
      <w:sz w:val="28"/>
      <w:szCs w:val="28"/>
    </w:rPr>
  </w:style>
  <w:style w:type="table" w:styleId="TableGrid">
    <w:name w:val="Table Grid"/>
    <w:basedOn w:val="TableNormal"/>
    <w:rsid w:val="00884DE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84DED"/>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semiHidden/>
    <w:rsid w:val="00884DE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884DED"/>
    <w:rPr>
      <w:rFonts w:ascii="Tahoma" w:eastAsia="Times New Roman" w:hAnsi="Tahoma" w:cs="Tahoma"/>
      <w:sz w:val="16"/>
      <w:szCs w:val="16"/>
    </w:rPr>
  </w:style>
  <w:style w:type="paragraph" w:customStyle="1" w:styleId="Char">
    <w:name w:val="Char"/>
    <w:basedOn w:val="Normal"/>
    <w:rsid w:val="00884DED"/>
    <w:pPr>
      <w:pageBreakBefore/>
      <w:spacing w:before="100" w:beforeAutospacing="1" w:after="100" w:afterAutospacing="1" w:line="240" w:lineRule="auto"/>
      <w:jc w:val="both"/>
    </w:pPr>
    <w:rPr>
      <w:rFonts w:ascii="Tahoma" w:eastAsia="Times New Roman" w:hAnsi="Tahoma"/>
      <w:sz w:val="20"/>
      <w:szCs w:val="20"/>
    </w:rPr>
  </w:style>
  <w:style w:type="character" w:styleId="Strong">
    <w:name w:val="Strong"/>
    <w:qFormat/>
    <w:rsid w:val="00884DED"/>
    <w:rPr>
      <w:b/>
      <w:bCs/>
    </w:rPr>
  </w:style>
  <w:style w:type="paragraph" w:customStyle="1" w:styleId="bodytextindent0">
    <w:name w:val="bodytextindent"/>
    <w:basedOn w:val="Normal"/>
    <w:rsid w:val="00884DED"/>
    <w:pPr>
      <w:spacing w:before="100" w:beforeAutospacing="1" w:after="100" w:afterAutospacing="1" w:line="240" w:lineRule="auto"/>
    </w:pPr>
    <w:rPr>
      <w:rFonts w:eastAsia="Times New Roman"/>
      <w:sz w:val="24"/>
      <w:szCs w:val="24"/>
    </w:rPr>
  </w:style>
  <w:style w:type="paragraph" w:customStyle="1" w:styleId="normalweb0">
    <w:name w:val="normalweb"/>
    <w:basedOn w:val="Normal"/>
    <w:rsid w:val="00884DED"/>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884DED"/>
  </w:style>
  <w:style w:type="paragraph" w:styleId="BodyText">
    <w:name w:val="Body Text"/>
    <w:basedOn w:val="Normal"/>
    <w:link w:val="BodyTextChar"/>
    <w:rsid w:val="00884DED"/>
    <w:pPr>
      <w:spacing w:after="120" w:line="240" w:lineRule="auto"/>
    </w:pPr>
    <w:rPr>
      <w:rFonts w:eastAsia="Times New Roman"/>
      <w:szCs w:val="28"/>
    </w:rPr>
  </w:style>
  <w:style w:type="character" w:customStyle="1" w:styleId="BodyTextChar">
    <w:name w:val="Body Text Char"/>
    <w:basedOn w:val="DefaultParagraphFont"/>
    <w:link w:val="BodyText"/>
    <w:rsid w:val="00884DED"/>
    <w:rPr>
      <w:rFonts w:eastAsia="Times New Roman"/>
      <w:sz w:val="28"/>
      <w:szCs w:val="28"/>
    </w:rPr>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fn"/>
    <w:basedOn w:val="Normal"/>
    <w:link w:val="FootnoteTextChar"/>
    <w:rsid w:val="00884DED"/>
    <w:pPr>
      <w:spacing w:after="0" w:line="240" w:lineRule="auto"/>
    </w:pPr>
    <w:rPr>
      <w:rFonts w:eastAsia="Times New Roman"/>
      <w:sz w:val="20"/>
      <w:szCs w:val="20"/>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fn Char"/>
    <w:basedOn w:val="DefaultParagraphFont"/>
    <w:link w:val="FootnoteText"/>
    <w:rsid w:val="00884DED"/>
    <w:rPr>
      <w:rFonts w:eastAsia="Times New Roman"/>
    </w:rPr>
  </w:style>
  <w:style w:type="character" w:styleId="FootnoteReference">
    <w:name w:val="footnote reference"/>
    <w:aliases w:val="Footnote,Footnote text,ftref,BearingPoint,16 Point,Superscript 6 Point,fr,Ref,de nota al pie,Footnote Text1,f,Footnote + Arial,10 pt,Black,Footnote Text11,BVI fnr,(NECG) Footnote Reference,footnote ref,Footnote text + 13 pt,R,f1,B"/>
    <w:qFormat/>
    <w:rsid w:val="00884DED"/>
    <w:rPr>
      <w:vertAlign w:val="superscript"/>
    </w:rPr>
  </w:style>
  <w:style w:type="character" w:styleId="Hyperlink">
    <w:name w:val="Hyperlink"/>
    <w:uiPriority w:val="99"/>
    <w:unhideWhenUsed/>
    <w:rsid w:val="00884DED"/>
    <w:rPr>
      <w:color w:val="0000FF"/>
      <w:u w:val="single"/>
    </w:rPr>
  </w:style>
  <w:style w:type="character" w:styleId="FollowedHyperlink">
    <w:name w:val="FollowedHyperlink"/>
    <w:uiPriority w:val="99"/>
    <w:unhideWhenUsed/>
    <w:rsid w:val="00884DED"/>
    <w:rPr>
      <w:color w:val="954F72"/>
      <w:u w:val="single"/>
    </w:rPr>
  </w:style>
  <w:style w:type="paragraph" w:styleId="ListParagraph">
    <w:name w:val="List Paragraph"/>
    <w:basedOn w:val="Normal"/>
    <w:uiPriority w:val="34"/>
    <w:qFormat/>
    <w:rsid w:val="00884D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DED"/>
    <w:pPr>
      <w:spacing w:after="160" w:line="259" w:lineRule="auto"/>
    </w:pPr>
    <w:rPr>
      <w:sz w:val="28"/>
      <w:szCs w:val="22"/>
    </w:rPr>
  </w:style>
  <w:style w:type="paragraph" w:styleId="Heading1">
    <w:name w:val="heading 1"/>
    <w:basedOn w:val="Normal"/>
    <w:next w:val="Normal"/>
    <w:link w:val="Heading1Char"/>
    <w:qFormat/>
    <w:rsid w:val="00884DED"/>
    <w:pPr>
      <w:keepNext/>
      <w:spacing w:after="0" w:line="240" w:lineRule="auto"/>
      <w:outlineLvl w:val="0"/>
    </w:pPr>
    <w:rPr>
      <w:rFonts w:eastAsia="Times New Roman"/>
      <w:szCs w:val="24"/>
    </w:rPr>
  </w:style>
  <w:style w:type="paragraph" w:styleId="Heading2">
    <w:name w:val="heading 2"/>
    <w:basedOn w:val="Normal"/>
    <w:next w:val="Normal"/>
    <w:link w:val="Heading2Char"/>
    <w:qFormat/>
    <w:rsid w:val="00884DED"/>
    <w:pPr>
      <w:keepNext/>
      <w:spacing w:after="0" w:line="240" w:lineRule="auto"/>
      <w:jc w:val="center"/>
      <w:outlineLvl w:val="1"/>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4DED"/>
    <w:rPr>
      <w:rFonts w:eastAsia="Times New Roman"/>
      <w:sz w:val="28"/>
      <w:szCs w:val="24"/>
    </w:rPr>
  </w:style>
  <w:style w:type="character" w:customStyle="1" w:styleId="Heading2Char">
    <w:name w:val="Heading 2 Char"/>
    <w:basedOn w:val="DefaultParagraphFont"/>
    <w:link w:val="Heading2"/>
    <w:rsid w:val="00884DED"/>
    <w:rPr>
      <w:rFonts w:eastAsia="Times New Roman"/>
      <w:sz w:val="28"/>
      <w:szCs w:val="24"/>
    </w:rPr>
  </w:style>
  <w:style w:type="paragraph" w:styleId="Header">
    <w:name w:val="header"/>
    <w:basedOn w:val="Normal"/>
    <w:link w:val="HeaderChar"/>
    <w:uiPriority w:val="99"/>
    <w:unhideWhenUsed/>
    <w:rsid w:val="0088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DED"/>
    <w:rPr>
      <w:sz w:val="28"/>
      <w:szCs w:val="22"/>
    </w:rPr>
  </w:style>
  <w:style w:type="paragraph" w:styleId="Footer">
    <w:name w:val="footer"/>
    <w:basedOn w:val="Normal"/>
    <w:link w:val="FooterChar"/>
    <w:uiPriority w:val="99"/>
    <w:unhideWhenUsed/>
    <w:rsid w:val="0088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4DED"/>
    <w:rPr>
      <w:sz w:val="28"/>
      <w:szCs w:val="22"/>
    </w:rPr>
  </w:style>
  <w:style w:type="numbering" w:customStyle="1" w:styleId="NoList1">
    <w:name w:val="No List1"/>
    <w:next w:val="NoList"/>
    <w:uiPriority w:val="99"/>
    <w:semiHidden/>
    <w:rsid w:val="00884DED"/>
  </w:style>
  <w:style w:type="paragraph" w:styleId="BodyTextIndent">
    <w:name w:val="Body Text Indent"/>
    <w:basedOn w:val="Normal"/>
    <w:link w:val="BodyTextIndentChar"/>
    <w:rsid w:val="00884DED"/>
    <w:pPr>
      <w:widowControl w:val="0"/>
      <w:spacing w:after="0" w:line="240" w:lineRule="auto"/>
      <w:ind w:firstLine="544"/>
      <w:jc w:val="both"/>
    </w:pPr>
    <w:rPr>
      <w:rFonts w:eastAsia="Times New Roman"/>
      <w:szCs w:val="28"/>
      <w:lang w:val="nl-NL" w:eastAsia="x-none"/>
    </w:rPr>
  </w:style>
  <w:style w:type="character" w:customStyle="1" w:styleId="BodyTextIndentChar">
    <w:name w:val="Body Text Indent Char"/>
    <w:basedOn w:val="DefaultParagraphFont"/>
    <w:link w:val="BodyTextIndent"/>
    <w:rsid w:val="00884DED"/>
    <w:rPr>
      <w:rFonts w:eastAsia="Times New Roman"/>
      <w:sz w:val="28"/>
      <w:szCs w:val="28"/>
      <w:lang w:val="nl-NL" w:eastAsia="x-none"/>
    </w:rPr>
  </w:style>
  <w:style w:type="paragraph" w:styleId="BodyTextIndent2">
    <w:name w:val="Body Text Indent 2"/>
    <w:basedOn w:val="Normal"/>
    <w:link w:val="BodyTextIndent2Char"/>
    <w:rsid w:val="00884DED"/>
    <w:pPr>
      <w:spacing w:after="0" w:line="240" w:lineRule="auto"/>
      <w:ind w:firstLine="720"/>
      <w:jc w:val="both"/>
    </w:pPr>
    <w:rPr>
      <w:rFonts w:eastAsia="Times New Roman"/>
      <w:szCs w:val="24"/>
    </w:rPr>
  </w:style>
  <w:style w:type="character" w:customStyle="1" w:styleId="BodyTextIndent2Char">
    <w:name w:val="Body Text Indent 2 Char"/>
    <w:basedOn w:val="DefaultParagraphFont"/>
    <w:link w:val="BodyTextIndent2"/>
    <w:rsid w:val="00884DED"/>
    <w:rPr>
      <w:rFonts w:eastAsia="Times New Roman"/>
      <w:sz w:val="28"/>
      <w:szCs w:val="24"/>
    </w:rPr>
  </w:style>
  <w:style w:type="paragraph" w:styleId="BodyText2">
    <w:name w:val="Body Text 2"/>
    <w:basedOn w:val="Normal"/>
    <w:link w:val="BodyText2Char"/>
    <w:rsid w:val="00884DED"/>
    <w:pPr>
      <w:autoSpaceDE w:val="0"/>
      <w:autoSpaceDN w:val="0"/>
      <w:spacing w:before="120" w:after="120" w:line="240" w:lineRule="auto"/>
      <w:ind w:firstLine="720"/>
      <w:jc w:val="both"/>
    </w:pPr>
    <w:rPr>
      <w:rFonts w:ascii=".VnTime" w:eastAsia="Times New Roman" w:hAnsi=".VnTime"/>
      <w:szCs w:val="28"/>
    </w:rPr>
  </w:style>
  <w:style w:type="character" w:customStyle="1" w:styleId="BodyText2Char">
    <w:name w:val="Body Text 2 Char"/>
    <w:basedOn w:val="DefaultParagraphFont"/>
    <w:link w:val="BodyText2"/>
    <w:rsid w:val="00884DED"/>
    <w:rPr>
      <w:rFonts w:ascii=".VnTime" w:eastAsia="Times New Roman" w:hAnsi=".VnTime"/>
      <w:sz w:val="28"/>
      <w:szCs w:val="28"/>
    </w:rPr>
  </w:style>
  <w:style w:type="table" w:styleId="TableGrid">
    <w:name w:val="Table Grid"/>
    <w:basedOn w:val="TableNormal"/>
    <w:rsid w:val="00884DE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84DED"/>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semiHidden/>
    <w:rsid w:val="00884DE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884DED"/>
    <w:rPr>
      <w:rFonts w:ascii="Tahoma" w:eastAsia="Times New Roman" w:hAnsi="Tahoma" w:cs="Tahoma"/>
      <w:sz w:val="16"/>
      <w:szCs w:val="16"/>
    </w:rPr>
  </w:style>
  <w:style w:type="paragraph" w:customStyle="1" w:styleId="Char">
    <w:name w:val="Char"/>
    <w:basedOn w:val="Normal"/>
    <w:rsid w:val="00884DED"/>
    <w:pPr>
      <w:pageBreakBefore/>
      <w:spacing w:before="100" w:beforeAutospacing="1" w:after="100" w:afterAutospacing="1" w:line="240" w:lineRule="auto"/>
      <w:jc w:val="both"/>
    </w:pPr>
    <w:rPr>
      <w:rFonts w:ascii="Tahoma" w:eastAsia="Times New Roman" w:hAnsi="Tahoma"/>
      <w:sz w:val="20"/>
      <w:szCs w:val="20"/>
    </w:rPr>
  </w:style>
  <w:style w:type="character" w:styleId="Strong">
    <w:name w:val="Strong"/>
    <w:qFormat/>
    <w:rsid w:val="00884DED"/>
    <w:rPr>
      <w:b/>
      <w:bCs/>
    </w:rPr>
  </w:style>
  <w:style w:type="paragraph" w:customStyle="1" w:styleId="bodytextindent0">
    <w:name w:val="bodytextindent"/>
    <w:basedOn w:val="Normal"/>
    <w:rsid w:val="00884DED"/>
    <w:pPr>
      <w:spacing w:before="100" w:beforeAutospacing="1" w:after="100" w:afterAutospacing="1" w:line="240" w:lineRule="auto"/>
    </w:pPr>
    <w:rPr>
      <w:rFonts w:eastAsia="Times New Roman"/>
      <w:sz w:val="24"/>
      <w:szCs w:val="24"/>
    </w:rPr>
  </w:style>
  <w:style w:type="paragraph" w:customStyle="1" w:styleId="normalweb0">
    <w:name w:val="normalweb"/>
    <w:basedOn w:val="Normal"/>
    <w:rsid w:val="00884DED"/>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884DED"/>
  </w:style>
  <w:style w:type="paragraph" w:styleId="BodyText">
    <w:name w:val="Body Text"/>
    <w:basedOn w:val="Normal"/>
    <w:link w:val="BodyTextChar"/>
    <w:rsid w:val="00884DED"/>
    <w:pPr>
      <w:spacing w:after="120" w:line="240" w:lineRule="auto"/>
    </w:pPr>
    <w:rPr>
      <w:rFonts w:eastAsia="Times New Roman"/>
      <w:szCs w:val="28"/>
    </w:rPr>
  </w:style>
  <w:style w:type="character" w:customStyle="1" w:styleId="BodyTextChar">
    <w:name w:val="Body Text Char"/>
    <w:basedOn w:val="DefaultParagraphFont"/>
    <w:link w:val="BodyText"/>
    <w:rsid w:val="00884DED"/>
    <w:rPr>
      <w:rFonts w:eastAsia="Times New Roman"/>
      <w:sz w:val="28"/>
      <w:szCs w:val="28"/>
    </w:rPr>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fn"/>
    <w:basedOn w:val="Normal"/>
    <w:link w:val="FootnoteTextChar"/>
    <w:rsid w:val="00884DED"/>
    <w:pPr>
      <w:spacing w:after="0" w:line="240" w:lineRule="auto"/>
    </w:pPr>
    <w:rPr>
      <w:rFonts w:eastAsia="Times New Roman"/>
      <w:sz w:val="20"/>
      <w:szCs w:val="20"/>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fn Char"/>
    <w:basedOn w:val="DefaultParagraphFont"/>
    <w:link w:val="FootnoteText"/>
    <w:rsid w:val="00884DED"/>
    <w:rPr>
      <w:rFonts w:eastAsia="Times New Roman"/>
    </w:rPr>
  </w:style>
  <w:style w:type="character" w:styleId="FootnoteReference">
    <w:name w:val="footnote reference"/>
    <w:aliases w:val="Footnote,Footnote text,ftref,BearingPoint,16 Point,Superscript 6 Point,fr,Ref,de nota al pie,Footnote Text1,f,Footnote + Arial,10 pt,Black,Footnote Text11,BVI fnr,(NECG) Footnote Reference,footnote ref,Footnote text + 13 pt,R,f1,B"/>
    <w:qFormat/>
    <w:rsid w:val="00884DED"/>
    <w:rPr>
      <w:vertAlign w:val="superscript"/>
    </w:rPr>
  </w:style>
  <w:style w:type="character" w:styleId="Hyperlink">
    <w:name w:val="Hyperlink"/>
    <w:uiPriority w:val="99"/>
    <w:unhideWhenUsed/>
    <w:rsid w:val="00884DED"/>
    <w:rPr>
      <w:color w:val="0000FF"/>
      <w:u w:val="single"/>
    </w:rPr>
  </w:style>
  <w:style w:type="character" w:styleId="FollowedHyperlink">
    <w:name w:val="FollowedHyperlink"/>
    <w:uiPriority w:val="99"/>
    <w:unhideWhenUsed/>
    <w:rsid w:val="00884DED"/>
    <w:rPr>
      <w:color w:val="954F72"/>
      <w:u w:val="single"/>
    </w:rPr>
  </w:style>
  <w:style w:type="paragraph" w:styleId="ListParagraph">
    <w:name w:val="List Paragraph"/>
    <w:basedOn w:val="Normal"/>
    <w:uiPriority w:val="34"/>
    <w:qFormat/>
    <w:rsid w:val="00884DE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4628</Words>
  <Characters>26380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2020-07-13T01:46:00Z</dcterms:created>
  <dcterms:modified xsi:type="dcterms:W3CDTF">2020-07-14T01:08:00Z</dcterms:modified>
</cp:coreProperties>
</file>